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both"/>
        <w:rPr>
          <w:color w:val="000000"/>
        </w:rPr>
      </w:pPr>
      <w:r>
        <w:rPr>
          <w:color w:val="000000"/>
        </w:rPr>
        <w:t> </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8" w:before="0" w:after="0"/>
        <w:jc w:val="both"/>
        <w:rPr>
          <w:color w:val="000000"/>
        </w:rPr>
      </w:pPr>
      <w:r>
        <w:rPr>
          <w:color w:val="000000"/>
        </w:rPr>
        <w:t>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338" w:before="0" w:after="0"/>
        <w:jc w:val="both"/>
        <w:rPr>
          <w:color w:val="000000"/>
        </w:rPr>
      </w:pPr>
      <w:r>
        <w:rPr>
          <w:color w:val="000000"/>
        </w:rPr>
        <w:t> </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40" w:before="0" w:after="0"/>
        <w:jc w:val="both"/>
        <w:rPr>
          <w:color w:val="000000"/>
        </w:rPr>
      </w:pPr>
      <w:r>
        <w:rPr>
          <w:color w:val="000000"/>
        </w:rPr>
        <w:t> </w:t>
      </w:r>
    </w:p>
    <w:p>
      <w:pPr>
        <w:pStyle w:val="TextBody"/>
        <w:bidi w:val="0"/>
        <w:spacing w:lineRule="auto" w:line="338" w:before="0" w:after="0"/>
        <w:jc w:val="center"/>
        <w:rPr>
          <w:rFonts w:ascii="Times New Roman;serif" w:hAnsi="Times New Roman;serif"/>
          <w:b/>
          <w:color w:val="000000"/>
          <w:sz w:val="20"/>
        </w:rPr>
      </w:pPr>
      <w:r>
        <w:rPr>
          <w:rFonts w:ascii="Times New Roman;serif" w:hAnsi="Times New Roman;serif"/>
          <w:b/>
          <w:color w:val="000000"/>
          <w:sz w:val="20"/>
        </w:rPr>
        <w:t>CURRENT REPORT PURSUANT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TO SECTION 13 OR 15 (d) OF THE</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pPr>
      <w:r>
        <w:rPr>
          <w:rFonts w:ascii="Times New Roman;serif" w:hAnsi="Times New Roman;serif"/>
          <w:b/>
          <w:color w:val="000000"/>
          <w:sz w:val="20"/>
        </w:rPr>
        <w:t>Date of report (Date of earliest event reported</w:t>
      </w:r>
      <w:r>
        <w:rPr>
          <w:rFonts w:ascii="Times New Roman;serif" w:hAnsi="Times New Roman;serif"/>
          <w:b/>
          <w:color w:val="000000"/>
          <w:sz w:val="20"/>
          <w:shd w:fill="FFFFFF" w:val="clear"/>
        </w:rPr>
        <w:t xml:space="preserve">): December 23, 2025 </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NOODLES &amp; COMPANY </w: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45" w:before="0" w:after="0"/>
        <w:jc w:val="both"/>
        <w:rPr>
          <w:color w:val="000000"/>
        </w:rPr>
      </w:pPr>
      <w:r>
        <w:rPr>
          <w:color w:val="000000"/>
        </w:rPr>
        <w:t> </w:t>
      </w:r>
    </w:p>
    <w:tbl>
      <w:tblPr>
        <w:tblW w:w="6446" w:type="dxa"/>
        <w:jc w:val="left"/>
        <w:tblInd w:w="0" w:type="dxa"/>
        <w:tblLayout w:type="fixed"/>
        <w:tblCellMar>
          <w:top w:w="28" w:type="dxa"/>
          <w:left w:w="28" w:type="dxa"/>
          <w:bottom w:w="28" w:type="dxa"/>
          <w:right w:w="28" w:type="dxa"/>
        </w:tblCellMar>
      </w:tblPr>
      <w:tblGrid>
        <w:gridCol w:w="461"/>
        <w:gridCol w:w="405"/>
        <w:gridCol w:w="405"/>
        <w:gridCol w:w="405"/>
        <w:gridCol w:w="405"/>
        <w:gridCol w:w="421"/>
        <w:gridCol w:w="381"/>
        <w:gridCol w:w="381"/>
        <w:gridCol w:w="381"/>
        <w:gridCol w:w="381"/>
        <w:gridCol w:w="381"/>
        <w:gridCol w:w="389"/>
        <w:gridCol w:w="257"/>
        <w:gridCol w:w="257"/>
        <w:gridCol w:w="257"/>
        <w:gridCol w:w="257"/>
        <w:gridCol w:w="257"/>
        <w:gridCol w:w="365"/>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001-35987</w:t>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84-1303469</w:t>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98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70"/>
        <w:gridCol w:w="570"/>
        <w:gridCol w:w="573"/>
        <w:gridCol w:w="523"/>
        <w:gridCol w:w="523"/>
        <w:gridCol w:w="52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03"/>
        <w:gridCol w:w="303"/>
        <w:gridCol w:w="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Broomfield, </w:t>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both"/>
        <w:rPr>
          <w:color w:val="000000"/>
        </w:rPr>
      </w:pPr>
      <w:r>
        <w:rPr>
          <w:color w:val="000000"/>
        </w:rPr>
        <w:t> </w: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(720) 214-1900 </w:t>
      </w:r>
    </w:p>
    <w:p>
      <w:pPr>
        <w:pStyle w:val="TextBody"/>
        <w:bidi w:val="0"/>
        <w:spacing w:lineRule="auto" w:line="360" w:before="0" w:after="0"/>
        <w:jc w:val="left"/>
        <w:rPr>
          <w:color w:val="000000"/>
        </w:rPr>
      </w:pPr>
      <w:r>
        <w:rPr>
          <w:color w:val="000000"/>
        </w:rPr>
        <w:t> </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60"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360"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84" w:type="dxa"/>
        <w:jc w:val="center"/>
        <w:tblInd w:w="0" w:type="dxa"/>
        <w:tblLayout w:type="fixed"/>
        <w:tblCellMar>
          <w:top w:w="28" w:type="dxa"/>
          <w:left w:w="28" w:type="dxa"/>
          <w:bottom w:w="28" w:type="dxa"/>
          <w:right w:w="28" w:type="dxa"/>
        </w:tblCellMar>
      </w:tblPr>
      <w:tblGrid>
        <w:gridCol w:w="710"/>
        <w:gridCol w:w="624"/>
        <w:gridCol w:w="631"/>
        <w:gridCol w:w="564"/>
        <w:gridCol w:w="564"/>
        <w:gridCol w:w="566"/>
        <w:gridCol w:w="1118"/>
        <w:gridCol w:w="1118"/>
        <w:gridCol w:w="158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NDLS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previously disclosed, on June 24, 2025, Noodles &amp; Company (the “Company”) received a notification letter (the “Notice”) from the Listing Qualifications Department of The Nasdaq Stock Market LLC (“Nasdaq”) indicating that the Company is not in compliance with Nasdaq’s Listing Rule 5450(a)(1) for continued listing on The Nasdaq Global Select Market. Nasdaq Listing Rule 5450(a)(1) requires listed securities to maintain a minimum closing bid price of $1.00 per share, and Nasdaq Listing Rule 5810(c)(3)(A) provides that a failure to meet the minimum closing bid price requirement exists if the deficiency continues for a period of 30 consecutive business days (the “Minimum Bid Price Requirement”). At that time, the Company was provided a compliance period of 180 calendar days from the date of the Notice, or until December 22, 2025, to regain compliance with the Minimum Bid Price Requirement, pursuant to Nasdaq Listing Rule 5810(c)(3)(A).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the Company did not regain compliance with </w:t>
      </w:r>
      <w:r>
        <w:rPr>
          <w:rFonts w:ascii="Times New Roman;serif" w:hAnsi="Times New Roman;serif"/>
          <w:b w:val="false"/>
          <w:color w:val="000000"/>
          <w:sz w:val="20"/>
        </w:rPr>
        <w:t>the Minimum Bid Price Requirement by December 22, 2025, and it was determined that the Company was not eligible for another 180 calendar-day extension because it did not meet the requirements for a transfer to The Nasdaq Capital Market, as set forth under Nasdaq Listing Rule 5505(b), the Company received a delisting determination letter on December 23, 2025 (the “Delisting Determination Letter”).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Delisting Determination Letter states that unless the Company requests a hearing before a Nasdaq Hearings Panel (the “Panel”) by December 30, 2025, the Company’s securities would be subject to suspension/delisting. Accordingly, the Company intends to request a hearing before the Panel on or before December 30, 2025. The hearing request will automatically stay any suspension or delisting action pending the hearing and the expiration of any additional extension period granted by the Panel following the hearing.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hearing before the Panel, the Company will provide Nasdaq with its plan to regain compliance with the Minimum Bid Price Requirement, including, subject to approval of the Company’s Board of Directors and its stockholders, implementing a reverse stock split, should it be necessary.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that regard, on February 4, 2026, the Company will hold a special meeting of stockholders at which the Company will propose the adoption and approval of an amendment to the Company’s Amended and Restated Certificate of Incorporation to effect a reverse stock split of the shares of the Company’s common stock at a specific ratio, ranging from one-for-two (1:2) to one-for-fifteen (1:15) (the “Reverse Split”), with such action to be effected at such time and date, if at all, as determined by the Board within one year after the conclusion of the Special Meeting if needed to regain compliance with the Minimum Bid Price Requirement.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can be no assurance that the Company will be able to regain compliance with the Minimum Bid Price Requirement or will otherwise be in compliance with other applicable Nasdaq listing rules, or that the Company will be able to successfully implement a reverse stock split if it decides to pursue one.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Company’s securities are delisted from Nasdaq, it could be more difficult to buy or sell the Company’s common stock or to obtain accurate quotations, and the price of the Company’s common stock could suffer a material decline. Delisting could also impair the Company’s ability to raise capital and/or trigger defaults and penalties under outstanding agreements or securities of the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Regarding Forward Looking Statements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that involve risks, uncertainties and assumptions that are difficult to predict, including statements regarding the Company’s plans to appeal the Nasdaq delisting determination, the Company’s ability to regain compliance with Nasdaq’s continued listing requirements, the timing of the hearing and of the decision of the Panel, and the outcome of the hearing.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Such forward-looking statements are not guarantees of performance and actual actions or events could differ materially from those contained in such statements, including, without limitation, risks related to the Company’s ability to regain compliance with Nasdaq’s continued listing requirements or otherwise maintain compliance with any other listing requirement of The Nasdaq Global Select Market, the potential delisting of the Company’s common stock from The Nasdaq Global Select Market due to the Company’s failure to comply with the applicable rules, the timing of the hearing and the Panel’s decision, the outcome of the hearing and the Panel’s decision, and the other risks set forth in the Company’s filings with the Securities and Exchange Commission. The Company disclaims and does not undertake any obligation to update or revise any forward-looking statement in this Current Report on Form 8-K, except as may be required by applicable law or regulation.</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0" w:after="0"/>
        <w:jc w:val="both"/>
        <w:rPr>
          <w:color w:val="000000"/>
        </w:rPr>
      </w:pPr>
      <w:r>
        <w:rPr>
          <w:color w:val="000000"/>
        </w:rPr>
        <w:t> </w:t>
      </w:r>
    </w:p>
    <w:p>
      <w:pPr>
        <w:pStyle w:val="TextBody"/>
        <w:bidi w:val="0"/>
        <w:spacing w:lineRule="auto" w:line="345"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color w:val="000000"/>
        </w:rPr>
      </w:pPr>
      <w:r>
        <w:rPr>
          <w:color w:val="000000"/>
        </w:rPr>
        <w:t> </w:t>
      </w:r>
    </w:p>
    <w:tbl>
      <w:tblPr>
        <w:tblW w:w="5008" w:type="dxa"/>
        <w:jc w:val="left"/>
        <w:tblInd w:w="0" w:type="dxa"/>
        <w:tblLayout w:type="fixed"/>
        <w:tblCellMar>
          <w:top w:w="28" w:type="dxa"/>
          <w:left w:w="28" w:type="dxa"/>
          <w:bottom w:w="28" w:type="dxa"/>
          <w:right w:w="28" w:type="dxa"/>
        </w:tblCellMar>
      </w:tblPr>
      <w:tblGrid>
        <w:gridCol w:w="858"/>
        <w:gridCol w:w="754"/>
        <w:gridCol w:w="757"/>
        <w:gridCol w:w="209"/>
        <w:gridCol w:w="209"/>
        <w:gridCol w:w="211"/>
        <w:gridCol w:w="588"/>
        <w:gridCol w:w="588"/>
        <w:gridCol w:w="83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0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Noodles &amp; Company</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DATE: December 29, 2025</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1190</Words>
  <Characters>6578</Characters>
  <CharactersWithSpaces>7735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