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NOODLES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65540B105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Galloway Capital Partners, LLC</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650 NE 2nd Avenue, #3007,</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Miami, FL, 33132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(917) 405-4591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65540B105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Galloway Capital Partners,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2,809,600.00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2,809,600.00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2,809,600.00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securities are held and managed by Galloway Capital Partners, LLC ("GCP"). Bruce Galloway is the</w:t>
      </w:r>
      <w:r>
        <w:rPr>
          <w:rFonts w:ascii="Times New Roman" w:cs="Times New Roman" w:eastAsia="Times New Roman" w:hAnsi="Times New Roman"/>
          <w:sz w:val="19"/>
          <w:szCs w:val="19"/>
          <w:b w:val="1"/>
          <w:bCs w:val="1"/>
          <w:color w:val="auto"/>
        </w:rPr>
        <w:t xml:space="preserve"> for Type of </w:t>
      </w:r>
      <w:r>
        <w:rPr>
          <w:rFonts w:ascii="Times New Roman" w:cs="Times New Roman" w:eastAsia="Times New Roman" w:hAnsi="Times New Roman"/>
          <w:sz w:val="21"/>
          <w:szCs w:val="21"/>
          <w:color w:val="auto"/>
        </w:rPr>
        <w:t>managing member of GCP. Mr. Galloway has sole voting and dispositive control of GCP. (2) This percentage is</w:t>
      </w:r>
    </w:p>
    <w:p>
      <w:pPr>
        <w:spacing w:after="0" w:line="2"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calculated based upon 46,724,702 shares of Common Stock outstanding as of October 31, 2025, as reported in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Issuer's Form 10-Q filed with the Securities and Exchange Commission on November 6, 2025.</w:t>
      </w: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65540B105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Galloway Capital,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2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25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2,809,600.00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2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2,809,600.00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2,809,600.00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securities are held and managed by Galloway Capital Partners, LLC ("GCP"). Bruce Galloway is the</w:t>
      </w:r>
      <w:r>
        <w:rPr>
          <w:rFonts w:ascii="Times New Roman" w:cs="Times New Roman" w:eastAsia="Times New Roman" w:hAnsi="Times New Roman"/>
          <w:sz w:val="19"/>
          <w:szCs w:val="19"/>
          <w:b w:val="1"/>
          <w:bCs w:val="1"/>
          <w:color w:val="auto"/>
        </w:rPr>
        <w:t xml:space="preserve"> for Type of </w:t>
      </w:r>
      <w:r>
        <w:rPr>
          <w:rFonts w:ascii="Times New Roman" w:cs="Times New Roman" w:eastAsia="Times New Roman" w:hAnsi="Times New Roman"/>
          <w:sz w:val="21"/>
          <w:szCs w:val="21"/>
          <w:color w:val="auto"/>
        </w:rPr>
        <w:t>managing member of GCP. Mr. Galloway has sole voting and dispositive control of GCP. (2) This percentage is</w:t>
      </w:r>
    </w:p>
    <w:p>
      <w:pPr>
        <w:sectPr>
          <w:pgSz w:w="11900" w:h="16838" w:orient="portrait"/>
          <w:cols w:equalWidth="0" w:num="1">
            <w:col w:w="11240"/>
          </w:cols>
          <w:pgMar w:left="320" w:top="111" w:right="339" w:bottom="0" w:gutter="0" w:footer="0" w:header="0"/>
        </w:sectPr>
      </w:pPr>
    </w:p>
    <w:p>
      <w:pPr>
        <w:spacing w:after="0" w:line="232" w:lineRule="auto"/>
        <w:rPr>
          <w:sz w:val="20"/>
          <w:szCs w:val="20"/>
          <w:color w:val="auto"/>
        </w:rPr>
      </w:pPr>
      <w:r>
        <w:rPr>
          <w:rFonts w:ascii="Times New Roman" w:cs="Times New Roman" w:eastAsia="Times New Roman" w:hAnsi="Times New Roman"/>
          <w:sz w:val="19"/>
          <w:szCs w:val="19"/>
          <w:b w:val="1"/>
          <w:bCs w:val="1"/>
          <w:color w:val="auto"/>
        </w:rPr>
        <w:t>Reporting Person:</w:t>
      </w:r>
    </w:p>
    <w:p>
      <w:pPr>
        <w:spacing w:after="0" w:line="20" w:lineRule="exact"/>
        <w:rPr>
          <w:sz w:val="20"/>
          <w:szCs w:val="20"/>
          <w:color w:val="auto"/>
        </w:rPr>
      </w:pPr>
      <w:r>
        <w:rPr>
          <w:sz w:val="20"/>
          <w:szCs w:val="20"/>
          <w:color w:val="auto"/>
        </w:rPr>
        <w:br w:type="column"/>
      </w:r>
    </w:p>
    <w:p>
      <w:pPr>
        <w:jc w:val="both"/>
        <w:spacing w:after="0" w:line="230" w:lineRule="auto"/>
        <w:rPr>
          <w:sz w:val="20"/>
          <w:szCs w:val="20"/>
          <w:color w:val="auto"/>
        </w:rPr>
      </w:pPr>
      <w:r>
        <w:rPr>
          <w:rFonts w:ascii="Times New Roman" w:cs="Times New Roman" w:eastAsia="Times New Roman" w:hAnsi="Times New Roman"/>
          <w:sz w:val="22"/>
          <w:szCs w:val="22"/>
          <w:color w:val="auto"/>
        </w:rPr>
        <w:t>calculated based upon 46,724,702 shares of Common Stock outstanding as of October 31, 2025, as reported in the Issuer's Form 10-Q filed with the Securities and Exchange Commission on November 6, 2025.</w:t>
      </w:r>
    </w:p>
    <w:p>
      <w:pPr>
        <w:spacing w:after="0" w:line="200" w:lineRule="exact"/>
        <w:rPr>
          <w:sz w:val="20"/>
          <w:szCs w:val="20"/>
          <w:color w:val="auto"/>
        </w:rPr>
      </w:pPr>
    </w:p>
    <w:p>
      <w:pPr>
        <w:sectPr>
          <w:pgSz w:w="11900" w:h="16838" w:orient="portrait"/>
          <w:cols w:equalWidth="0" w:num="2">
            <w:col w:w="840" w:space="160"/>
            <w:col w:w="10240"/>
          </w:cols>
          <w:pgMar w:left="320" w:top="111" w:right="339" w:bottom="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65540B105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GALLOWAY BRUCE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2,809,600.00</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-1652905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3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32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10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1032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103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1032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2,809,600.00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103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2,809,600.00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10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103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6.01 %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10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103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10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3"/>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 The securities are held and managed by Galloway Capital Partners, LLC ("GCP"). Bruce Galloway is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-1449705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b w:val="1"/>
          <w:bCs w:val="1"/>
          <w:color w:val="auto"/>
        </w:rPr>
        <w:t xml:space="preserve">for Type of </w:t>
      </w:r>
      <w:r>
        <w:rPr>
          <w:rFonts w:ascii="Times New Roman" w:cs="Times New Roman" w:eastAsia="Times New Roman" w:hAnsi="Times New Roman"/>
          <w:sz w:val="21"/>
          <w:szCs w:val="21"/>
          <w:color w:val="auto"/>
        </w:rPr>
        <w:t>managing member of GCP. Mr. Galloway has sole voting and dispositive control of GCP. (2) This percentage is</w:t>
      </w:r>
    </w:p>
    <w:p>
      <w:pPr>
        <w:sectPr>
          <w:pgSz w:w="11900" w:h="16841" w:orient="portrait"/>
          <w:cols w:equalWidth="0" w:num="1">
            <w:col w:w="11240"/>
          </w:cols>
          <w:pgMar w:left="320" w:top="102" w:right="339" w:bottom="0" w:gutter="0" w:footer="0" w:header="0"/>
        </w:sectPr>
      </w:pPr>
    </w:p>
    <w:p>
      <w:pPr>
        <w:spacing w:after="0" w:line="2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b w:val="1"/>
          <w:bCs w:val="1"/>
          <w:color w:val="auto"/>
        </w:rPr>
        <w:t>Reporting Person: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calculated based upon 46,724,702 shares of Common Stock outstanding as of October 31, 2025, as reported in the Issuer's Form 10-Q filed with the Securities and Exchange Commission on November 6, 2025.</w:t>
      </w:r>
    </w:p>
    <w:p>
      <w:pPr>
        <w:spacing w:after="0" w:line="200" w:lineRule="exact"/>
        <w:rPr>
          <w:sz w:val="20"/>
          <w:szCs w:val="20"/>
          <w:color w:val="auto"/>
        </w:rPr>
      </w:pPr>
    </w:p>
    <w:p>
      <w:pPr>
        <w:sectPr>
          <w:pgSz w:w="11900" w:h="16841" w:orient="portrait"/>
          <w:cols w:equalWidth="0" w:num="2">
            <w:col w:w="840" w:space="160"/>
            <w:col w:w="10240"/>
          </w:cols>
          <w:pgMar w:left="320" w:top="102" w:right="339" w:bottom="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NOODLES &amp;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520 Zang Street, Suite D, Broomfield, COLORADO , 80021.</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relates to the common stock, par value $0.01 per share ("Common Stock"), of Noodles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Company, a Delaware corporation (the "Issuer"). The principal executive office of the Issuer is located at 520 Zang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Street, Suite D, Broomfield, CO 80021. Information given in response to each item below shall be deemed incorporated by reference in all other items below. As of December 1, 2025, the Reporting Persons (defined below) beneficially owned an aggregate of 2,809,600 shares of Common Stock, representing approximately 6.01% of the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outstanding shares of Common Stock.</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Galloway Capital Partners, LLC (ii) Galloway Capital, LP (iii) Bruce Galloway</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Galloway Capital Partners, LLC is a Delaware limited liability company incorporated in Delaware. Galloway Capital,</w:t>
      </w:r>
    </w:p>
    <w:p>
      <w:pPr>
        <w:spacing w:after="0" w:line="25" w:lineRule="exact"/>
        <w:rPr>
          <w:rFonts w:ascii="Times New Roman" w:cs="Times New Roman" w:eastAsia="Times New Roman" w:hAnsi="Times New Roman"/>
          <w:sz w:val="22"/>
          <w:szCs w:val="22"/>
          <w:color w:val="auto"/>
        </w:rPr>
      </w:pPr>
    </w:p>
    <w:p>
      <w:pPr>
        <w:jc w:val="both"/>
        <w:ind w:left="960" w:right="120" w:hanging="912"/>
        <w:spacing w:after="0" w:line="184" w:lineRule="auto"/>
        <w:tabs>
          <w:tab w:leader="none" w:pos="96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LP is a limited partnership incorporated in Delaware. Bruce Galloway is a resident of Florida. Bruce Galloway is the managing member of Galloway Capital Partners, LLC. Galloway Capital Partners, LLC is the investment manager of Galloway Capital, LP</w:t>
      </w:r>
    </w:p>
    <w:p>
      <w:pPr>
        <w:spacing w:after="0" w:line="18" w:lineRule="exact"/>
        <w:rPr>
          <w:rFonts w:ascii="Times New Roman" w:cs="Times New Roman" w:eastAsia="Times New Roman" w:hAnsi="Times New Roman"/>
          <w:sz w:val="42"/>
          <w:szCs w:val="42"/>
          <w:color w:val="auto"/>
          <w:vertAlign w:val="subscript"/>
        </w:rPr>
      </w:pPr>
    </w:p>
    <w:p>
      <w:pPr>
        <w:ind w:left="960" w:right="680" w:hanging="912"/>
        <w:spacing w:after="0"/>
        <w:tabs>
          <w:tab w:leader="none" w:pos="96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Reporting Person is 650 NE 2nd Avenue, 3007, Miami, FL 33132.</w:t>
      </w:r>
    </w:p>
    <w:p>
      <w:pPr>
        <w:spacing w:after="0" w:line="91" w:lineRule="exact"/>
        <w:rPr>
          <w:rFonts w:ascii="Times New Roman" w:cs="Times New Roman" w:eastAsia="Times New Roman" w:hAnsi="Times New Roman"/>
          <w:sz w:val="39"/>
          <w:szCs w:val="39"/>
          <w:color w:val="auto"/>
          <w:vertAlign w:val="subscript"/>
        </w:rPr>
      </w:pPr>
    </w:p>
    <w:p>
      <w:pPr>
        <w:ind w:left="960" w:right="64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During the last five years, neither Reporting Person nor any executive officer or director of Galloway Capital Partners, LLC has (i) been convicted in any criminal proceeding or (ii) been a party to any civil proceeding of a</w:t>
      </w:r>
    </w:p>
    <w:p>
      <w:pPr>
        <w:ind w:left="960" w:right="60" w:hanging="912"/>
        <w:spacing w:after="0" w:line="235"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judicial or administrative body of competent jurisdiction as a result of which he was subject to any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USA</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280"/>
        <w:spacing w:after="0" w:line="261" w:lineRule="auto"/>
        <w:rPr>
          <w:sz w:val="20"/>
          <w:szCs w:val="20"/>
          <w:color w:val="auto"/>
        </w:rPr>
      </w:pPr>
      <w:r>
        <w:rPr>
          <w:rFonts w:ascii="Times New Roman" w:cs="Times New Roman" w:eastAsia="Times New Roman" w:hAnsi="Times New Roman"/>
          <w:sz w:val="21"/>
          <w:szCs w:val="21"/>
          <w:color w:val="auto"/>
        </w:rPr>
        <w:t>Galloway Capital Partners, LLC acquired 2,809,600 shares of Common Stock in open market purchases from December 2024 through November 2025. The aggregate purchase price for the shares of Common Stock is approximately $.715 per share. Such shares of Common Stock were purchased with investment capital of Galloway</w:t>
      </w:r>
    </w:p>
    <w:p>
      <w:pPr>
        <w:sectPr>
          <w:pgSz w:w="11900" w:h="16841" w:orient="portrait"/>
          <w:cols w:equalWidth="0" w:num="1">
            <w:col w:w="11240"/>
          </w:cols>
          <w:pgMar w:left="320" w:top="102" w:right="339" w:bottom="0" w:gutter="0" w:footer="0" w:header="0"/>
          <w:type w:val="continuous"/>
        </w:sectPr>
      </w:pPr>
    </w:p>
    <w:bookmarkStart w:id="4" w:name="page5"/>
    <w:bookmarkEnd w:id="4"/>
    <w:p>
      <w:pPr>
        <w:ind w:left="920" w:right="20"/>
        <w:spacing w:after="0"/>
        <w:rPr>
          <w:sz w:val="20"/>
          <w:szCs w:val="20"/>
          <w:color w:val="auto"/>
        </w:rPr>
      </w:pPr>
      <w:r>
        <w:rPr>
          <w:rFonts w:ascii="Times New Roman" w:cs="Times New Roman" w:eastAsia="Times New Roman" w:hAnsi="Times New Roman"/>
          <w:sz w:val="22"/>
          <w:szCs w:val="22"/>
          <w:color w:val="auto"/>
        </w:rPr>
        <w:t>Capital Partners, LLC and Mr. Galloway. The Reporting Persons have effectuated transactions to acquire shares of Common Stock within the past sixty (60) days, as reflected in Schedule 1 to this Report. Other than as set forth in this Report, none of the Reporting Persons has effected any transactions in the shares of Common Stock within the past sixty (60) days.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Each Reporting Person acquired the securities described in this Schedule 13D for investment purposes and intend to review its investment in the Issuer on a continuing basis. Each Reporting Person may from time to time acquire additional securities of the Issuer or retain or sell all or a portion of the shares then held by such Reporting Person, in the open market, block trades, underwritten public offerings or privately negotiated transactions. Any actions any Reporting Person might undertake with respect to its investment in the Issuer may be made at any time and from time to time and will be dependent upon such Reporting Person's review of numerous factors, including, but not limited to: ongoing evaluation of the Issuer's business, financial condition, operations, prospects and strategic alternatives; price levels of the Issuer's securities; general market, industry and economic conditions; the relative attractiveness of alternative business and investment opportunities; tax considerations; liquidity of the Issuer's securities; and other factors and future developments. Each Reporting Person may consider, explore and/or develop plans and/or make proposals (whether preliminary or final) with respect to, among other things, the Issuer's performance, operations, management, governance (including potential changes to the Board), conflicted party transactions, capital allocation policies, and strategy and plans of the Issuer. Each Reporting Person intends to engage the Board and management with respect to the matters referred to in the preceding sentence. In addition, each Reporting Person may, at any time and from time to time, (i) review or reconsider its position and/or change its purpose and/or formulate plans or proposals with respect thereto and (ii) propose or consider one or more of the actions described in subparagraphs (a) -</w:t>
      </w:r>
    </w:p>
    <w:p>
      <w:pPr>
        <w:spacing w:after="0" w:line="16" w:lineRule="exact"/>
        <w:rPr>
          <w:sz w:val="20"/>
          <w:szCs w:val="20"/>
          <w:color w:val="auto"/>
        </w:rPr>
      </w:pPr>
    </w:p>
    <w:p>
      <w:pPr>
        <w:ind w:left="920" w:right="220" w:firstLine="6"/>
        <w:spacing w:after="0" w:line="235" w:lineRule="auto"/>
        <w:tabs>
          <w:tab w:leader="none" w:pos="11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Item 4 of Schedule 13D. The Reporting Persons sent the attached letter to management of the Company. The Reporting Persons believe the Company's share price is undervalued and management needs to take steps to protect the equity value for the shareholders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11 and 13 on the cover pages to this Schedule 13D for the aggregate number and percentage of the class of securities identified pursuant to Item 1 owned by the Reporting Person.</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i. Sole power to vote or to direct the vote: See Item 7 on cover pages to this Statement. ii. Shared power to vote or to</w:t>
      </w:r>
    </w:p>
    <w:p>
      <w:pPr>
        <w:spacing w:after="0" w:line="25" w:lineRule="exact"/>
        <w:rPr>
          <w:rFonts w:ascii="Times New Roman" w:cs="Times New Roman" w:eastAsia="Times New Roman" w:hAnsi="Times New Roman"/>
          <w:sz w:val="39"/>
          <w:szCs w:val="39"/>
          <w:color w:val="auto"/>
          <w:vertAlign w:val="subscript"/>
        </w:rPr>
      </w:pPr>
    </w:p>
    <w:p>
      <w:pPr>
        <w:ind w:left="920" w:hanging="912"/>
        <w:spacing w:after="0" w:line="181" w:lineRule="auto"/>
        <w:tabs>
          <w:tab w:leader="none" w:pos="920" w:val="left"/>
        </w:tabs>
        <w:numPr>
          <w:ilvl w:val="0"/>
          <w:numId w:val="10"/>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direct the vote: See Item 8 on cover pages to this Statement. iii. Sole power to dispose or direct the disposition: See</w:t>
      </w:r>
    </w:p>
    <w:p>
      <w:pPr>
        <w:ind w:left="920" w:right="26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Item 9 on cover pages to this Statement. iv. Shared power to dispose or direct the disposition: See Item 10 on cover pages to this Statement.</w:t>
      </w:r>
    </w:p>
    <w:p>
      <w:pPr>
        <w:spacing w:after="0" w:line="16" w:lineRule="exact"/>
        <w:rPr>
          <w:rFonts w:ascii="Times New Roman" w:cs="Times New Roman" w:eastAsia="Times New Roman" w:hAnsi="Times New Roman"/>
          <w:sz w:val="28"/>
          <w:szCs w:val="28"/>
          <w:color w:val="auto"/>
          <w:vertAlign w:val="subscript"/>
        </w:rPr>
      </w:pPr>
    </w:p>
    <w:p>
      <w:pPr>
        <w:ind w:left="920" w:right="7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set forth in response to Item 3 above, no other transactions in the Issuer's Common Stock by the Reporting Persons were effected in the past sixty (60) days.</w:t>
      </w:r>
    </w:p>
    <w:p>
      <w:pPr>
        <w:spacing w:after="0" w:line="17" w:lineRule="exact"/>
        <w:rPr>
          <w:rFonts w:ascii="Times New Roman" w:cs="Times New Roman" w:eastAsia="Times New Roman" w:hAnsi="Times New Roman"/>
          <w:sz w:val="39"/>
          <w:szCs w:val="39"/>
          <w:color w:val="auto"/>
          <w:vertAlign w:val="subscript"/>
        </w:rPr>
      </w:pPr>
    </w:p>
    <w:p>
      <w:pPr>
        <w:ind w:left="920" w:right="5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the proceeds from the sale of, the Common Stock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40"/>
        <w:spacing w:after="0" w:line="259" w:lineRule="auto"/>
        <w:rPr>
          <w:sz w:val="20"/>
          <w:szCs w:val="20"/>
          <w:color w:val="auto"/>
        </w:rPr>
      </w:pPr>
      <w:r>
        <w:rPr>
          <w:rFonts w:ascii="Times New Roman" w:cs="Times New Roman" w:eastAsia="Times New Roman" w:hAnsi="Times New Roman"/>
          <w:sz w:val="21"/>
          <w:szCs w:val="21"/>
          <w:color w:val="auto"/>
        </w:rPr>
        <w:t>Except for the relationships described above and in the responses to Items 4 and 5 herein, none of the Reporting Persons, nor, to the best of their knowledge, any persons identified in Item 2 hereof has any contracts, arrangements, understandings or relationships (legal or otherwise) with any person, with respect to any securities of the Issuer.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 Cover Letter Exhibit 99.2 -- 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Galloway Capital Partners,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Galloway</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Bruce Galloway,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12/02/2025</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Galloway Capital,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Galloway</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Bruce Galloway,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12/02/2025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GALLOWAY BRUCE</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Galloway</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Bruce Galloway,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12/02/2025</w:t>
      </w:r>
    </w:p>
    <w:p>
      <w:pPr>
        <w:sectPr>
          <w:pgSz w:w="11900" w:h="16838" w:orient="portrait"/>
          <w:cols w:equalWidth="0" w:num="1">
            <w:col w:w="11140"/>
          </w:cols>
          <w:pgMar w:left="360" w:top="112" w:right="399" w:bottom="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Galloway Capital Partners,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Christina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Noodles &amp;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Zang Street, Suite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Broomfield, CO 80021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Christina: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firm is a 6.01% shareholder of common shares of Noodles &amp; Company. After conducting extensive analysis, we believe the Company’s shares are materially undervalued and that management and the Board must take decisive action to enhance shareholder value.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Central to our recommendation is the sale of approximately 200 company-owned restaurants. We estimate that such a transaction could generate roughly $60 million in proceeds, enabling the Company to retire a substantial portion of its high-cost debt, which currently carries interest rates in the 9–10% range. Reducing leverage to this degree would materially strengthen cash flow, eliminate perceived bankruptcy risk. This would reduce the interest expense and improve earnings per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see Noodles at a decisive turning point. Management has been proactive and transparent in reviewing all options, and the financial logic behind a balance-sheet reset and targeted store sales is clear. Our focus is on partnering to unlock meaningful shareholder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approach mirrors our successful turnaround investment in Regis Corporation (Nasdaq: RGS), where the equity value improved dramatically after executing a similar deleveraging strategy attributed to our activist involvement. With the right steps, Noodles can remove bankruptcy risk, clean up its capital structure, and allow the equity to move significantly higher, as we have seen in similar situations.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strongly urge the Board to pursue our recommendations and to evaluate all options for maximizing shareholder value. Our firm and its team have extensive experience investing in undervalued companies and partnering with management teams to unlock value. I would welcome the opportunity to discuss potential strategies with you and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feel free to contact me at bgalloway@gallowaycap.com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Bruce Galloway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13D with respect to the Common Stock of Noodles and Company dated as of December 1, 2025 is, and any amendments thereto (including amendments on Schedule 13G) signed by each of the undersigned shall be, filed on behalf of each of us pursuant to and in accordance with the provisions of Rule 13d-1(k) under the Securities Exchange Act of 1934.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Galloway Capital Partners,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Bruce Galloway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Bruce Galloway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Galloway Capital, LP</w:t>
      </w:r>
    </w:p>
    <w:p>
      <w:pPr>
        <w:spacing w:after="0" w:line="31"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Bruce Galloway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Bruce Galloway</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Bruce Galloway</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Bruce Galloway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328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Purchases by the Reporting Persons</w:t>
            </w:r>
          </w:p>
        </w:tc>
        <w:tc>
          <w:tcPr>
            <w:tcW w:w="328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2025-10-27</w:t>
            </w:r>
          </w:p>
        </w:tc>
        <w:tc>
          <w:tcPr>
            <w:tcW w:w="4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0.795</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2025-10-27</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0.7929</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2025-10-27</w:t>
            </w:r>
          </w:p>
        </w:tc>
        <w:tc>
          <w:tcPr>
            <w:tcW w:w="4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0.7779</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2025-10-27</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0.7928</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2025-10-27</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3,964</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0.784967205</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2025-10-27</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633</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0.79</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2025-10-28</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0.70648</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2025-10-28</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0.694</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2025-10-28</w:t>
            </w:r>
          </w:p>
        </w:tc>
        <w:tc>
          <w:tcPr>
            <w:tcW w:w="4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5"/>
              </w:rPr>
              <w:t>0.73</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2025-10-28</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0.723996</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2025-10-28</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1,138</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0.715224253</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2025-10-28</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13,862</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0.72</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2025-10-29</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5"/>
              </w:rPr>
              <w:t>0.72</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2025-10-29</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8,000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0.78</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2025-10-29</w:t>
            </w:r>
          </w:p>
        </w:tc>
        <w:tc>
          <w:tcPr>
            <w:tcW w:w="4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5"/>
              </w:rPr>
              <w:t>0.75</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2025-10-30</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2,500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0.73</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2025-10-30</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5"/>
              </w:rPr>
              <w:t>0.72</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2025-10-30</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0.7135</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0.705</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0.69625</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0.7165</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0.736864</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0.736</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0.7384</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0.736</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4,500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0.7495</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4,500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0.748</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0.7423</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2025-10-31</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0.725</w:t>
            </w:r>
          </w:p>
        </w:tc>
      </w:tr>
      <w:tr>
        <w:trPr>
          <w:trHeight w:val="216"/>
        </w:trPr>
        <w:tc>
          <w:tcPr>
            <w:tcW w:w="33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0.68998</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1,495</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0.695545151</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505</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0.700643564</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3,500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0.6855</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0.682</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2,500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0.6805</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0.65993</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0.6557</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9,800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0.67</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701</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0.631429387</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2025-11-03</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1,338</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0.65056861</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2025-11-05</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1,500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0.678946333</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2025-11-05</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1,500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0.68</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2025-11-05</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1,900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0.6765</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2025-11-05</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0.677</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2025-11-05</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1,961</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0.677</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2025-11-10</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2,500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0.69</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2025-11-10</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3,500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0.6906</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2025-11-10</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0.693</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2025-11-12</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9,100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0.693</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2025-11-12</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0.685</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2025-11-12</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0.68479</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2025-11-12</w:t>
            </w:r>
          </w:p>
        </w:tc>
        <w:tc>
          <w:tcPr>
            <w:tcW w:w="4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365</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0.68</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2025-11-12</w:t>
            </w:r>
          </w:p>
        </w:tc>
        <w:tc>
          <w:tcPr>
            <w:tcW w:w="4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9,635</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5"/>
              </w:rPr>
              <w:t>0.69</w:t>
            </w:r>
          </w:p>
        </w:tc>
      </w:tr>
      <w:tr>
        <w:trPr>
          <w:trHeight w:val="216"/>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2025-11-12</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0.68421096</w:t>
            </w:r>
          </w:p>
        </w:tc>
      </w:tr>
      <w:tr>
        <w:trPr>
          <w:trHeight w:val="216"/>
        </w:trPr>
        <w:tc>
          <w:tcPr>
            <w:tcW w:w="33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2025-11-12</w:t>
            </w:r>
          </w:p>
        </w:tc>
        <w:tc>
          <w:tcPr>
            <w:tcW w:w="4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0.685</w:t>
            </w:r>
          </w:p>
        </w:tc>
      </w:tr>
      <w:tr>
        <w:trPr>
          <w:trHeight w:val="234"/>
        </w:trPr>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2025-11-12</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0.696</w:t>
            </w:r>
          </w:p>
        </w:tc>
      </w:tr>
      <w:tr>
        <w:trPr>
          <w:trHeight w:val="596"/>
        </w:trPr>
        <w:tc>
          <w:tcPr>
            <w:tcW w:w="33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2025-11-12</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2,364</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0.699593909</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2025-11-12</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0.697005128</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2025-11-13</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5,999</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0.724</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2025-11-13</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367</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0.715</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2025-11-13</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7,633</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0.742</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2025-11-14</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0.735</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2025-11-17</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509</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0.701</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2025-11-17</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0.695</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0.735</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0.724</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0.724</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0.7130458</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0.702</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0.699996</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0.7</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0.708999</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2025-11-18</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0.688807018</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0.6538708</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0.652</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0.654994</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4,342</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0.653976969</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658</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0.6545</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1,244</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0.6549</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0.66</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3,756</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0.659</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0.66393</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0.665</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0.65849416</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0.659596</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2025-11-20</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0.657</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2025-11-21</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0.64899554</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2025-11-21</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0.64988332</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2025-11-21</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0.649987</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2025-11-21</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0.64</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2025-11-21</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0.635</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0.614418616</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0.6198816</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0.6228404</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0.629177</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4,017</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0.6298</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5,090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0.628</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0.625</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0.62835</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2025-11-24</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9,510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0.633</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0.61</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0.64</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0.6463</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0.64534</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0.64523</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0.64841</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0.64895</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0.65</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0.649856</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0.65</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0.6488</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0.64812449</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4,853</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0.654993818</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0.655</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0.665</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0.669996</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2025-11-25</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0.672</w:t>
            </w:r>
          </w:p>
        </w:tc>
      </w:tr>
      <w:tr>
        <w:trPr>
          <w:trHeight w:val="216"/>
        </w:trPr>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2025-10-27</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0.68</w:t>
            </w:r>
          </w:p>
        </w:tc>
      </w:tr>
      <w:tr>
        <w:trPr>
          <w:trHeight w:val="216"/>
        </w:trPr>
        <w:tc>
          <w:tcPr>
            <w:tcW w:w="3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2025-10-31</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3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0.67</w:t>
            </w:r>
          </w:p>
        </w:tc>
      </w:tr>
      <w:tr>
        <w:trPr>
          <w:trHeight w:val="277"/>
        </w:trPr>
        <w:tc>
          <w:tcPr>
            <w:tcW w:w="3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6"/>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0"/>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2025-12-02T08:32:20Z</dcterms:created>
  <dcterms:modified xsi:type="dcterms:W3CDTF">2025-12-02T08:32:20Z</dcterms:modified>
</cp:coreProperties>
</file>