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21, 2026.</w:t>
      </w:r>
    </w:p>
    <w:p>
      <w:pPr>
        <w:pStyle w:val="TextBody"/>
        <w:bidi w:val="0"/>
        <w:spacing w:lineRule="auto" w:line="288" w:before="160" w:after="283"/>
        <w:jc w:val="right"/>
        <w:rPr>
          <w:rFonts w:ascii="Times New Roman;serif" w:hAnsi="Times New Roman;serif"/>
          <w:b/>
          <w:color w:val="000000"/>
          <w:sz w:val="16"/>
        </w:rPr>
      </w:pPr>
      <w:r>
        <w:rPr>
          <w:rFonts w:ascii="Times New Roman;serif" w:hAnsi="Times New Roman;serif"/>
          <w:b/>
          <w:color w:val="000000"/>
          <w:sz w:val="16"/>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REGISTRATION STATEMENT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UNDER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 SECURITIES ACT OF 1933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NOODLES &amp; COMPANY</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tbl>
      <w:tblPr>
        <w:tblW w:w="6698"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109"/>
        <w:gridCol w:w="109"/>
        <w:gridCol w:w="109"/>
        <w:gridCol w:w="513"/>
        <w:gridCol w:w="513"/>
        <w:gridCol w:w="729"/>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84-1303469</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520 Zang Street, Suite 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Broomfield, CO 80021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(720) 214-1900</w:t>
      </w:r>
    </w:p>
    <w:p>
      <w:pPr>
        <w:pStyle w:val="TextBody"/>
        <w:bidi w:val="0"/>
        <w:spacing w:before="160" w:after="283"/>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Cheryl Lucente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Vice President, Legal</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Noodles &amp; Company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520 Zang Street, Suite D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Broomfield, Colorado 80021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(720) 214-1900</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address, including zip code, and telephone number, including area code, of agent for service)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i/>
          <w:color w:val="000000"/>
          <w:sz w:val="16"/>
        </w:rPr>
      </w:pPr>
      <w:r>
        <w:rPr>
          <w:rFonts w:ascii="Times New Roman;serif" w:hAnsi="Times New Roman;serif"/>
          <w:b/>
          <w:i/>
          <w:color w:val="000000"/>
          <w:sz w:val="16"/>
        </w:rPr>
        <w:t>Copies to:</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Janet Spreen, Esq.</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John Harrington, Esq.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Baker &amp; Hostetler LLP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127 Public Square, Suite 2000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Cleveland, Ohio 44114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(216) 621-0200</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From time to time after the effective date of this Registration Statement</w:t>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(Approximate date of commencement of proposed sale to the public)</w:t>
      </w:r>
    </w:p>
    <w:p>
      <w:pPr>
        <w:pStyle w:val="TextBody"/>
        <w:bidi w:val="0"/>
        <w:spacing w:before="0" w:after="0"/>
        <w:jc w:val="center"/>
        <w:rPr/>
      </w:pPr>
      <w:r>
        <w:rPr/>
      </w:r>
    </w:p>
    <w:p>
      <w:pPr>
        <w:pStyle w:val="TextBody"/>
        <w:bidi w:val="0"/>
        <w:spacing w:lineRule="auto" w:line="288" w:before="160" w:after="283"/>
        <w:jc w:val="left"/>
        <w:rPr/>
      </w:pPr>
      <w:r>
        <w:rPr>
          <w:rFonts w:ascii="Times New Roman;serif" w:hAnsi="Times New Roman;serif"/>
          <w:b w:val="false"/>
          <w:color w:val="000000"/>
          <w:sz w:val="16"/>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160" w:after="283"/>
        <w:jc w:val="both"/>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sans-serif" w:hAnsi="Wingdings;sans-serif"/>
          <w:b w:val="false"/>
          <w:color w:val="000000"/>
          <w:sz w:val="16"/>
        </w:rPr>
        <w:t>x</w:t>
      </w:r>
    </w:p>
    <w:p>
      <w:pPr>
        <w:pStyle w:val="TextBody"/>
        <w:bidi w:val="0"/>
        <w:spacing w:lineRule="auto" w:line="288" w:before="160" w:after="283"/>
        <w:jc w:val="both"/>
        <w:rPr/>
      </w:pPr>
      <w:r>
        <w:rPr>
          <w:rFonts w:ascii="Times New Roman;serif" w:hAnsi="Times New Roman;serif"/>
          <w:b w:val="false"/>
          <w:color w:val="00000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160" w:after="283"/>
        <w:jc w:val="both"/>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160" w:after="283"/>
        <w:jc w:val="both"/>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160" w:after="283"/>
        <w:jc w:val="both"/>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1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693"/>
        <w:gridCol w:w="693"/>
        <w:gridCol w:w="98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Large 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Accelerated filer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Non-accelerated filer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Smaller reporting company </w:t>
            </w:r>
            <w:r>
              <w:rPr>
                <w:rFonts w:ascii="Wingdings;sans-serif" w:hAnsi="Wingdings;sans-serif"/>
                <w:b w:val="false"/>
                <w:color w:val="000000"/>
                <w:sz w:val="16"/>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Emerging growth company  </w:t>
            </w:r>
            <w:r>
              <w:rPr>
                <w:color w:val="000000"/>
              </w:rPr>
              <w:t>☐</w:t>
            </w:r>
          </w:p>
        </w:tc>
      </w:tr>
    </w:tbl>
    <w:p>
      <w:pPr>
        <w:pStyle w:val="TextBody"/>
        <w:bidi w:val="0"/>
        <w:spacing w:lineRule="auto" w:line="288" w:before="160" w:after="283"/>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68" w:before="160" w:after="283"/>
        <w:jc w:val="both"/>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FF0000"/>
          <w:sz w:val="20"/>
        </w:rPr>
      </w:pPr>
      <w:r>
        <w:rPr>
          <w:rFonts w:ascii="Times New Roman;serif" w:hAnsi="Times New Roman;serif"/>
          <w:b/>
          <w:color w:val="FF0000"/>
          <w:sz w:val="2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AUGUST 21,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r>
    </w:p>
    <w:tbl>
      <w:tblPr>
        <w:tblW w:w="3920" w:type="dxa"/>
        <w:jc w:val="center"/>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81200" cy="4000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98120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Noodles &amp; Company</w:t>
      </w:r>
    </w:p>
    <w:p>
      <w:pPr>
        <w:pStyle w:val="TextBody"/>
        <w:bidi w:val="0"/>
        <w:spacing w:lineRule="auto" w:line="26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$100,000,000</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Class A Common Stock</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Warrants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Units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8"/>
        </w:rPr>
        <w:t>From time to time, we may offer and sell up to an aggrega</w:t>
      </w:r>
      <w:r>
        <w:rPr>
          <w:rFonts w:ascii="Times New Roman;serif" w:hAnsi="Times New Roman;serif"/>
          <w:b w:val="false"/>
          <w:color w:val="000000"/>
          <w:sz w:val="18"/>
          <w:shd w:fill="FFFFFF" w:val="clear"/>
        </w:rPr>
        <w:t>te amount of $100.0 milli</w:t>
      </w:r>
      <w:r>
        <w:rPr>
          <w:rFonts w:ascii="Times New Roman;serif" w:hAnsi="Times New Roman;serif"/>
          <w:b w:val="false"/>
          <w:color w:val="000000"/>
          <w:sz w:val="18"/>
        </w:rPr>
        <w:t>on of any combination of the securities described in this prospectus, either individually or in combination, at prices and on terms described in one or more supplements to this prospectus. We may offer shares of our Class A common stock and preferred stock, various series of debt securities and/or warrants to purchase any of such securities, and units comprised of any such securities. We may also offer Class A common stock upon conversion of preferred stock, Class A common stock or preferred stock upon conversion of debt securities, and Class A common stock, preferred stock and/or debt securities upon the exercise of warrants.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8"/>
          <w:shd w:fill="FFFFFF" w:val="clear"/>
        </w:rPr>
        <w:t>Our common stock is listed on the Nasdaq Global Select Market (“Nasdaq”) under the trading symbol “NDLS.” On August 20, 2026, the last reported sale price of our common stock was $15.05 per share. The applicable prospectus supplement will contain information, where applicable, as to other listings, if any, on Nasdaq or any securities market or other exchange of the secu</w:t>
      </w:r>
      <w:r>
        <w:rPr>
          <w:rFonts w:ascii="Times New Roman;serif" w:hAnsi="Times New Roman;serif"/>
          <w:b w:val="false"/>
          <w:color w:val="000000"/>
          <w:sz w:val="18"/>
        </w:rPr>
        <w:t>rities covered by the applicable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These securities may be sold directly by us, through dealers or agents designated from time to time, to or through underwriters, dealers, or through a combination of these methods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any such sale will also be set forth in a prospectus supplement.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18"/>
        </w:rPr>
        <w:t xml:space="preserve">Investing in our securities involves a high degree of risk. You should review carefully the risks and uncertainties described under the section titled </w:t>
      </w:r>
      <w:r>
        <w:rPr>
          <w:color w:val="000000"/>
          <w:shd w:fill="FFFFFF" w:val="clear"/>
        </w:rPr>
        <w:t>“</w:t>
      </w:r>
      <w:r>
        <w:rPr>
          <w:rFonts w:ascii="Times New Roman;serif" w:hAnsi="Times New Roman;serif"/>
          <w:b/>
          <w:color w:val="0000FF"/>
          <w:sz w:val="18"/>
          <w:shd w:fill="FFFFFF" w:val="clear"/>
        </w:rPr>
        <w:t>Risk Factors</w:t>
      </w:r>
      <w:r>
        <w:rPr>
          <w:color w:val="000000"/>
          <w:shd w:fill="FFFFFF" w:val="clear"/>
        </w:rPr>
        <w:t xml:space="preserve">” </w:t>
      </w:r>
      <w:r>
        <w:rPr>
          <w:rFonts w:ascii="Times New Roman;serif" w:hAnsi="Times New Roman;serif"/>
          <w:b/>
          <w:color w:val="000000"/>
          <w:sz w:val="18"/>
          <w:shd w:fill="FFFFFF" w:val="clear"/>
        </w:rPr>
        <w:t xml:space="preserve">on </w:t>
      </w:r>
      <w:r>
        <w:rPr>
          <w:rFonts w:ascii="Times New Roman;serif" w:hAnsi="Times New Roman;serif"/>
          <w:b/>
          <w:color w:val="000000"/>
          <w:sz w:val="18"/>
        </w:rPr>
        <w:t>p</w:t>
      </w:r>
      <w:r>
        <w:rPr>
          <w:rFonts w:ascii="Times New Roman;serif" w:hAnsi="Times New Roman;serif"/>
          <w:b/>
          <w:color w:val="000000"/>
          <w:sz w:val="18"/>
          <w:shd w:fill="FFFFFF" w:val="clear"/>
        </w:rPr>
        <w:t xml:space="preserve">age </w:t>
      </w:r>
      <w:hyperlink w:anchor="i027029345980479b9a45efdf5cbdaec6_25">
        <w:r>
          <w:rPr>
            <w:rStyle w:val="InternetLink"/>
            <w:rFonts w:ascii="Times New Roman;serif" w:hAnsi="Times New Roman;serif"/>
            <w:b/>
            <w:color w:val="0000FF"/>
            <w:sz w:val="18"/>
            <w:u w:val="single"/>
            <w:shd w:fill="FFFFFF" w:val="clear"/>
          </w:rPr>
          <w:t>4</w:t>
        </w:r>
      </w:hyperlink>
      <w:r>
        <w:rPr>
          <w:color w:val="000000"/>
          <w:shd w:fill="FFFFFF" w:val="clear"/>
        </w:rPr>
        <w:t xml:space="preserve"> </w:t>
      </w:r>
      <w:r>
        <w:rPr>
          <w:rFonts w:ascii="Times New Roman;serif" w:hAnsi="Times New Roman;serif"/>
          <w:b/>
          <w:color w:val="000000"/>
          <w:sz w:val="18"/>
          <w:shd w:fill="FFFFFF" w:val="clear"/>
        </w:rPr>
        <w:t>of this prosp</w:t>
      </w:r>
      <w:r>
        <w:rPr>
          <w:rFonts w:ascii="Times New Roman;serif" w:hAnsi="Times New Roman;serif"/>
          <w:b/>
          <w:color w:val="000000"/>
          <w:sz w:val="18"/>
        </w:rPr>
        <w:t>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 This prospectus may not be used to consummate a sale of securities unless accompanied by a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TABLE OF CONTENTS</w:t>
      </w:r>
    </w:p>
    <w:p>
      <w:pPr>
        <w:pStyle w:val="TextBody"/>
        <w:bidi w:val="0"/>
        <w:spacing w:before="0" w:after="0"/>
        <w:jc w:val="left"/>
        <w:rPr/>
      </w:pPr>
      <w:r>
        <w:rPr/>
      </w:r>
    </w:p>
    <w:tbl>
      <w:tblPr>
        <w:tblW w:w="5610" w:type="dxa"/>
        <w:jc w:val="center"/>
        <w:tblInd w:w="0" w:type="dxa"/>
        <w:tblLayout w:type="fixed"/>
        <w:tblCellMar>
          <w:top w:w="28" w:type="dxa"/>
          <w:left w:w="28" w:type="dxa"/>
          <w:bottom w:w="28" w:type="dxa"/>
          <w:right w:w="28" w:type="dxa"/>
        </w:tblCellMar>
      </w:tblPr>
      <w:tblGrid>
        <w:gridCol w:w="1856"/>
        <w:gridCol w:w="1632"/>
        <w:gridCol w:w="1641"/>
        <w:gridCol w:w="140"/>
        <w:gridCol w:w="140"/>
        <w:gridCol w:w="201"/>
      </w:tblGrid>
      <w:tr>
        <w:trPr/>
        <w:tc>
          <w:tcPr>
            <w:tcW w:w="185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13">
              <w:r>
                <w:rPr>
                  <w:rStyle w:val="InternetLink"/>
                  <w:rFonts w:ascii="Times New Roman;serif" w:hAnsi="Times New Roman;serif"/>
                  <w:b w:val="false"/>
                  <w:color w:val="0000FF"/>
                  <w:sz w:val="16"/>
                  <w:u w:val="single"/>
                </w:rPr>
                <w:t>ABOUT THIS PROSPECTUS</w:t>
              </w:r>
            </w:hyperlink>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027029345980479b9a45efdf5cbdaec6_13">
              <w:r>
                <w:rPr>
                  <w:rStyle w:val="InternetLink"/>
                  <w:rFonts w:ascii="Times New Roman;serif" w:hAnsi="Times New Roman;serif"/>
                  <w:b w:val="false"/>
                  <w:color w:val="0000FF"/>
                  <w:sz w:val="16"/>
                  <w:u w:val="single"/>
                </w:rPr>
                <w:t>ii</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22">
              <w:r>
                <w:rPr>
                  <w:rStyle w:val="InternetLink"/>
                  <w:rFonts w:ascii="Times New Roman;serif" w:hAnsi="Times New Roman;serif"/>
                  <w:b w:val="false"/>
                  <w:color w:val="0000FF"/>
                  <w:sz w:val="16"/>
                  <w:u w:val="single"/>
                </w:rPr>
                <w:t>PROSPECTUS SUMMARY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22">
              <w:r>
                <w:rPr>
                  <w:rStyle w:val="InternetLink"/>
                  <w:rFonts w:ascii="Times New Roman;serif" w:hAnsi="Times New Roman;serif"/>
                  <w:b w:val="false"/>
                  <w:color w:val="0000FF"/>
                  <w:sz w:val="16"/>
                  <w:u w:val="single"/>
                </w:rPr>
                <w:t>1</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25">
              <w:r>
                <w:rPr>
                  <w:rStyle w:val="InternetLink"/>
                  <w:rFonts w:ascii="Times New Roman;serif" w:hAnsi="Times New Roman;serif"/>
                  <w:b w:val="false"/>
                  <w:color w:val="000080"/>
                  <w:sz w:val="16"/>
                  <w:u w:val="single"/>
                </w:rPr>
                <w:t>RISK FACTO</w:t>
              </w:r>
            </w:hyperlink>
            <w:hyperlink w:anchor="i027029345980479b9a45efdf5cbdaec6_25">
              <w:r>
                <w:rPr>
                  <w:rStyle w:val="InternetLink"/>
                  <w:rFonts w:ascii="Times New Roman;serif" w:hAnsi="Times New Roman;serif"/>
                  <w:b w:val="false"/>
                  <w:color w:val="000080"/>
                  <w:sz w:val="16"/>
                  <w:u w:val="single"/>
                </w:rPr>
                <w:t>R</w:t>
              </w:r>
            </w:hyperlink>
            <w:hyperlink w:anchor="i027029345980479b9a45efdf5cbdaec6_25">
              <w:r>
                <w:rPr>
                  <w:rStyle w:val="InternetLink"/>
                  <w:rFonts w:ascii="Times New Roman;serif" w:hAnsi="Times New Roman;serif"/>
                  <w:b w:val="false"/>
                  <w:color w:val="000080"/>
                  <w:sz w:val="16"/>
                  <w:u w:val="single"/>
                </w:rPr>
                <w:t>S</w:t>
              </w:r>
            </w:hyperlink>
            <w:r>
              <w:rPr>
                <w:color w:val="000000"/>
              </w:rPr>
              <w:t xml:space="preserve">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25">
              <w:r>
                <w:rPr>
                  <w:rStyle w:val="InternetLink"/>
                  <w:rFonts w:ascii="Times New Roman;serif" w:hAnsi="Times New Roman;serif"/>
                  <w:b w:val="false"/>
                  <w:color w:val="0000FF"/>
                  <w:sz w:val="16"/>
                  <w:u w:val="single"/>
                </w:rPr>
                <w:t>4</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19">
              <w:r>
                <w:rPr>
                  <w:rStyle w:val="InternetLink"/>
                  <w:rFonts w:ascii="Times New Roman;serif" w:hAnsi="Times New Roman;serif"/>
                  <w:b w:val="false"/>
                  <w:color w:val="0000FF"/>
                  <w:sz w:val="16"/>
                  <w:u w:val="single"/>
                </w:rPr>
                <w:t>SPECIAL NOTE REGARDING FORWARD-LOOKING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19">
              <w:r>
                <w:rPr>
                  <w:rStyle w:val="InternetLink"/>
                  <w:rFonts w:ascii="Times New Roman;serif" w:hAnsi="Times New Roman;serif"/>
                  <w:b w:val="false"/>
                  <w:color w:val="0000FF"/>
                  <w:sz w:val="16"/>
                  <w:u w:val="single"/>
                </w:rPr>
                <w:t>5</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28">
              <w:r>
                <w:rPr>
                  <w:rStyle w:val="InternetLink"/>
                  <w:rFonts w:ascii="Times New Roman;serif" w:hAnsi="Times New Roman;serif"/>
                  <w:b w:val="false"/>
                  <w:color w:val="0000FF"/>
                  <w:sz w:val="16"/>
                  <w:u w:val="single"/>
                </w:rPr>
                <w:t>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28">
              <w:r>
                <w:rPr>
                  <w:rStyle w:val="InternetLink"/>
                  <w:rFonts w:ascii="Times New Roman;serif" w:hAnsi="Times New Roman;serif"/>
                  <w:b w:val="false"/>
                  <w:color w:val="0000FF"/>
                  <w:sz w:val="16"/>
                  <w:u w:val="single"/>
                </w:rPr>
                <w:t>5</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34">
              <w:r>
                <w:rPr>
                  <w:rStyle w:val="InternetLink"/>
                  <w:rFonts w:ascii="Times New Roman;serif" w:hAnsi="Times New Roman;serif"/>
                  <w:b w:val="false"/>
                  <w:color w:val="0000FF"/>
                  <w:sz w:val="16"/>
                  <w:u w:val="single"/>
                </w:rPr>
                <w:t>DESCRIPTION OF CAPITAL STOCK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34">
              <w:r>
                <w:rPr>
                  <w:rStyle w:val="InternetLink"/>
                  <w:rFonts w:ascii="Times New Roman;serif" w:hAnsi="Times New Roman;serif"/>
                  <w:b w:val="false"/>
                  <w:color w:val="0000FF"/>
                  <w:sz w:val="16"/>
                  <w:u w:val="single"/>
                </w:rPr>
                <w:t>6</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37">
              <w:r>
                <w:rPr>
                  <w:rStyle w:val="InternetLink"/>
                  <w:rFonts w:ascii="Times New Roman;serif" w:hAnsi="Times New Roman;serif"/>
                  <w:b w:val="false"/>
                  <w:color w:val="0000FF"/>
                  <w:sz w:val="16"/>
                  <w:u w:val="single"/>
                </w:rPr>
                <w:t>DESCRIPTION OF DEBT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37">
              <w:r>
                <w:rPr>
                  <w:rStyle w:val="InternetLink"/>
                  <w:rFonts w:ascii="Times New Roman;serif" w:hAnsi="Times New Roman;serif"/>
                  <w:b w:val="false"/>
                  <w:color w:val="0000FF"/>
                  <w:sz w:val="16"/>
                  <w:u w:val="single"/>
                </w:rPr>
                <w:t>8</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763">
              <w:r>
                <w:rPr>
                  <w:rStyle w:val="InternetLink"/>
                  <w:rFonts w:ascii="Times New Roman;serif" w:hAnsi="Times New Roman;serif"/>
                  <w:b w:val="false"/>
                  <w:color w:val="0000FF"/>
                  <w:sz w:val="16"/>
                  <w:u w:val="single"/>
                </w:rPr>
                <w:t>DESCRIPTION OF WARRANTS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763">
              <w:r>
                <w:rPr>
                  <w:rStyle w:val="InternetLink"/>
                  <w:rFonts w:ascii="Times New Roman;serif" w:hAnsi="Times New Roman;serif"/>
                  <w:b w:val="false"/>
                  <w:color w:val="0000FF"/>
                  <w:sz w:val="16"/>
                  <w:u w:val="single"/>
                </w:rPr>
                <w:t>13</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806">
              <w:r>
                <w:rPr>
                  <w:rStyle w:val="InternetLink"/>
                  <w:rFonts w:ascii="Times New Roman;serif" w:hAnsi="Times New Roman;serif"/>
                  <w:b w:val="false"/>
                  <w:color w:val="0000FF"/>
                  <w:sz w:val="16"/>
                  <w:u w:val="single"/>
                </w:rPr>
                <w:t>DESCRIPTION OF UNITS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806">
              <w:r>
                <w:rPr>
                  <w:rStyle w:val="InternetLink"/>
                  <w:rFonts w:ascii="Times New Roman;serif" w:hAnsi="Times New Roman;serif"/>
                  <w:b w:val="false"/>
                  <w:color w:val="0000FF"/>
                  <w:sz w:val="16"/>
                  <w:u w:val="single"/>
                </w:rPr>
                <w:t>15</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40">
              <w:r>
                <w:rPr>
                  <w:rStyle w:val="InternetLink"/>
                  <w:rFonts w:ascii="Times New Roman;serif" w:hAnsi="Times New Roman;serif"/>
                  <w:b w:val="false"/>
                  <w:color w:val="0000FF"/>
                  <w:sz w:val="16"/>
                  <w:u w:val="single"/>
                </w:rPr>
                <w:t>PLAN OF DISTRIBUTION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40">
              <w:r>
                <w:rPr>
                  <w:rStyle w:val="InternetLink"/>
                  <w:rFonts w:ascii="Times New Roman;serif" w:hAnsi="Times New Roman;serif"/>
                  <w:b w:val="false"/>
                  <w:color w:val="0000FF"/>
                  <w:sz w:val="16"/>
                  <w:u w:val="single"/>
                </w:rPr>
                <w:t>16</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43">
              <w:r>
                <w:rPr>
                  <w:rStyle w:val="InternetLink"/>
                  <w:rFonts w:ascii="Times New Roman;serif" w:hAnsi="Times New Roman;serif"/>
                  <w:b w:val="false"/>
                  <w:color w:val="0000FF"/>
                  <w:sz w:val="16"/>
                  <w:u w:val="single"/>
                </w:rPr>
                <w:t>LEGAL MATTERS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43">
              <w:r>
                <w:rPr>
                  <w:rStyle w:val="InternetLink"/>
                  <w:rFonts w:ascii="Times New Roman;serif" w:hAnsi="Times New Roman;serif"/>
                  <w:b w:val="false"/>
                  <w:color w:val="0000FF"/>
                  <w:sz w:val="16"/>
                  <w:u w:val="single"/>
                </w:rPr>
                <w:t>18</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46">
              <w:r>
                <w:rPr>
                  <w:rStyle w:val="InternetLink"/>
                  <w:rFonts w:ascii="Times New Roman;serif" w:hAnsi="Times New Roman;serif"/>
                  <w:b w:val="false"/>
                  <w:color w:val="0000FF"/>
                  <w:sz w:val="16"/>
                  <w:u w:val="single"/>
                </w:rPr>
                <w:t>EXPERTS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46">
              <w:r>
                <w:rPr>
                  <w:rStyle w:val="InternetLink"/>
                  <w:rFonts w:ascii="Times New Roman;serif" w:hAnsi="Times New Roman;serif"/>
                  <w:b w:val="false"/>
                  <w:color w:val="0000FF"/>
                  <w:sz w:val="16"/>
                  <w:u w:val="single"/>
                </w:rPr>
                <w:t>18</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16">
              <w:r>
                <w:rPr>
                  <w:rStyle w:val="InternetLink"/>
                  <w:rFonts w:ascii="Times New Roman;serif" w:hAnsi="Times New Roman;serif"/>
                  <w:b w:val="false"/>
                  <w:color w:val="0000FF"/>
                  <w:sz w:val="16"/>
                  <w:u w:val="single"/>
                </w:rPr>
                <w:t>WHERE YOU CAN FIND MORE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16">
              <w:r>
                <w:rPr>
                  <w:rStyle w:val="InternetLink"/>
                  <w:rFonts w:ascii="Times New Roman;serif" w:hAnsi="Times New Roman;serif"/>
                  <w:b w:val="false"/>
                  <w:color w:val="0000FF"/>
                  <w:sz w:val="16"/>
                  <w:u w:val="single"/>
                </w:rPr>
                <w:t>19</w:t>
              </w:r>
            </w:hyperlink>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785">
              <w:r>
                <w:rPr>
                  <w:rStyle w:val="InternetLink"/>
                  <w:rFonts w:ascii="Times New Roman;serif" w:hAnsi="Times New Roman;serif"/>
                  <w:b w:val="false"/>
                  <w:color w:val="0000FF"/>
                  <w:sz w:val="16"/>
                  <w:u w:val="single"/>
                </w:rPr>
                <w:t>INCORPORATION OF CERTAIN INFORMATION BY REFERENCE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7029345980479b9a45efdf5cbdaec6_785">
              <w:r>
                <w:rPr>
                  <w:rStyle w:val="InternetLink"/>
                  <w:rFonts w:ascii="Times New Roman;serif" w:hAnsi="Times New Roman;serif"/>
                  <w:b w:val="false"/>
                  <w:color w:val="0000FF"/>
                  <w:sz w:val="16"/>
                  <w:u w:val="single"/>
                </w:rPr>
                <w:t>20</w:t>
              </w:r>
            </w:hyperlink>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10" w:after="283"/>
        <w:jc w:val="center"/>
        <w:rPr>
          <w:rFonts w:ascii="Times New Roman;serif" w:hAnsi="Times New Roman;serif"/>
          <w:b/>
          <w:color w:val="000000"/>
          <w:sz w:val="16"/>
        </w:rPr>
      </w:pPr>
      <w:r>
        <w:rPr>
          <w:rFonts w:ascii="Times New Roman;serif" w:hAnsi="Times New Roman;serif"/>
          <w:b/>
          <w:color w:val="000000"/>
          <w:sz w:val="16"/>
        </w:rPr>
        <w:t>ABOUT THIS PROSPECTUS</w:t>
      </w:r>
    </w:p>
    <w:p>
      <w:pPr>
        <w:pStyle w:val="TextBody"/>
        <w:bidi w:val="0"/>
        <w:spacing w:before="110" w:after="283"/>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This prospectus is part of a registration statement on Form S-3 that we filed with the Securities and Exchange Commission (the “SEC”) using a “shelf” registration process under the Securities Act of 1933, as amended, or the Securities Act. Under this shelf registration statement, we may, from time to time, offer and sell in one or more offerings Class A common stock and preferred stock, various series of debt securities and/or warrants to purchase any of such se</w:t>
      </w:r>
      <w:r>
        <w:rPr>
          <w:rFonts w:ascii="Times New Roman;serif" w:hAnsi="Times New Roman;serif"/>
          <w:b w:val="false"/>
          <w:color w:val="000000"/>
          <w:sz w:val="16"/>
          <w:shd w:fill="FFFFFF" w:val="clear"/>
        </w:rPr>
        <w:t>curities, and units comprised of any such securities, either individually or in combination with other securities, in one or more offerings, up to a total dollar amount of $100 million of any combina</w:t>
      </w:r>
      <w:r>
        <w:rPr>
          <w:rFonts w:ascii="Times New Roman;serif" w:hAnsi="Times New Roman;serif"/>
          <w:b w:val="false"/>
          <w:color w:val="000000"/>
          <w:sz w:val="16"/>
        </w:rPr>
        <w:t>tion of the securities described in this prospectus. This prospectus provides you with a general description of the securities we may offer.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or therein by reference as described under the heading “Incorporation of Certain Information by Reference,” before buying any of the securities being offered.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This prospectus may not be used to consummate a sale of securities unless it is accompanied by a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any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 prospectus, the applicable prospectus supplement and any related free writing prospectus. Accordingly, investors should not place undue reliance on this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the context requires otherwise, references to “Noodles,” “the Company,” “we,” “us,” or “our” in this prospectus refer to Noodles &amp; Company and its consolidated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10" w:after="283"/>
        <w:jc w:val="center"/>
        <w:rPr>
          <w:rFonts w:ascii="Times New Roman;serif" w:hAnsi="Times New Roman;serif"/>
          <w:b/>
          <w:color w:val="000000"/>
          <w:sz w:val="16"/>
        </w:rPr>
      </w:pPr>
      <w:r>
        <w:rPr>
          <w:rFonts w:ascii="Times New Roman;serif" w:hAnsi="Times New Roman;serif"/>
          <w:b/>
          <w:color w:val="000000"/>
          <w:sz w:val="16"/>
        </w:rPr>
        <w:t>PROSPECTUS SUMMARY</w:t>
      </w:r>
    </w:p>
    <w:p>
      <w:pPr>
        <w:pStyle w:val="TextBody"/>
        <w:bidi w:val="0"/>
        <w:spacing w:before="110" w:after="283"/>
        <w:jc w:val="center"/>
        <w:rPr/>
      </w:pPr>
      <w:r>
        <w:rPr/>
      </w:r>
    </w:p>
    <w:p>
      <w:pPr>
        <w:pStyle w:val="TextBody"/>
        <w:bidi w:val="0"/>
        <w:spacing w:lineRule="auto" w:line="268" w:before="0" w:after="0"/>
        <w:jc w:val="both"/>
        <w:rPr>
          <w:rFonts w:ascii="Times New Roman;serif" w:hAnsi="Times New Roman;serif"/>
          <w:b w:val="false"/>
          <w:i/>
          <w:color w:val="000000"/>
          <w:sz w:val="16"/>
        </w:rPr>
      </w:pPr>
      <w:r>
        <w:rPr>
          <w:rFonts w:ascii="Times New Roman;serif" w:hAnsi="Times New Roman;serif"/>
          <w:b w:val="false"/>
          <w:i/>
          <w:color w:val="000000"/>
          <w:sz w:val="16"/>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Noodles &amp; Company is a restaurant concept offering lunch and dinner within the fast-casual segment of the restaurant industry. Our core offerings include noodle and pasta dishes, staples of many different cuisines, with the goal of delivering fresh ingredients and flavors from around the world under one roof. Today, our globally-inspired menu includes a wide variety of high quality, cooked-to-order dishes, including noodles and pasta, salads, soups and appetizers. As of June 30, 2026, we had 396 restaurants system-wide in 30 states, comprised of 318 company-owned restaurants and 78 franchise restaurants.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Corporate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 xml:space="preserve">Noodles &amp; Company is a Delaware corporation that was organized in 2002. Our principal executive offices are located at 520 Zang Street, Suite D, Broomfield, Colorado 80021. Our telephone number is </w:t>
      </w:r>
      <w:r>
        <w:rPr>
          <w:rFonts w:ascii="Times New Roman;serif" w:hAnsi="Times New Roman;serif"/>
          <w:b/>
          <w:color w:val="000000"/>
          <w:sz w:val="16"/>
        </w:rPr>
        <w:t>(</w:t>
      </w:r>
      <w:r>
        <w:rPr>
          <w:rFonts w:ascii="Times New Roman;serif" w:hAnsi="Times New Roman;serif"/>
          <w:b w:val="false"/>
          <w:color w:val="000000"/>
          <w:sz w:val="16"/>
        </w:rPr>
        <w:t>720</w:t>
      </w:r>
      <w:r>
        <w:rPr>
          <w:rFonts w:ascii="Times New Roman;serif" w:hAnsi="Times New Roman;serif"/>
          <w:b/>
          <w:color w:val="000000"/>
          <w:sz w:val="16"/>
        </w:rPr>
        <w:t xml:space="preserve">) </w:t>
      </w:r>
      <w:r>
        <w:rPr>
          <w:rFonts w:ascii="Times New Roman;serif" w:hAnsi="Times New Roman;serif"/>
          <w:b w:val="false"/>
          <w:color w:val="000000"/>
          <w:sz w:val="16"/>
        </w:rPr>
        <w:t>214-1900. Our website address is www.noodles.com. Information contained on our website or connected thereto does not constitute part of, and is not incorporated by reference into, this prospectus or the registration statement of which it forms a part.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The Securities We May Offer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We may offer shares of our Class A common stock and preferred stock, various series of debt securities and/or warrants to purchase any of such securities, and units comprised of any such securities, either individually or in combination with other securities, up to a total dollar amount</w:t>
      </w:r>
      <w:r>
        <w:rPr>
          <w:color w:val="000000"/>
          <w:shd w:fill="FFFFFF" w:val="clear"/>
        </w:rPr>
        <w:t xml:space="preserve"> </w:t>
      </w:r>
      <w:r>
        <w:rPr>
          <w:rFonts w:ascii="Times New Roman;serif" w:hAnsi="Times New Roman;serif"/>
          <w:b w:val="false"/>
          <w:color w:val="000000"/>
          <w:sz w:val="16"/>
          <w:shd w:fill="FFFFFF" w:val="clear"/>
        </w:rPr>
        <w:t>of $100 million, fr</w:t>
      </w:r>
      <w:r>
        <w:rPr>
          <w:rFonts w:ascii="Times New Roman;serif" w:hAnsi="Times New Roman;serif"/>
          <w:b w:val="false"/>
          <w:color w:val="000000"/>
          <w:sz w:val="16"/>
        </w:rPr>
        <w:t>om time to time under this prospectus, together with the applicable prospectus supplement and any related free writing prospectus, at prices and on terms to be determined by market conditions at the time of any offering. We may also offer Class A common stock upon conversion of preferred stock, Class A common stock or preferred stock upon conversion of debt securities, and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firstLine="720"/>
        <w:jc w:val="both"/>
        <w:rPr/>
      </w:pPr>
      <w:r>
        <w:rPr/>
      </w:r>
    </w:p>
    <w:tbl>
      <w:tblPr>
        <w:tblW w:w="46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5"/>
        <w:gridCol w:w="1175"/>
        <w:gridCol w:w="16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designation or classification;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aggregate principal amount or aggregate offering price;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2"/>
        <w:gridCol w:w="2738"/>
        <w:gridCol w:w="3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maturity date, if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original issue discount,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rates and times of payment of interest or dividends,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redemption, conversion, exercise, exchange or sinking fund terms,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ranking;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restrictive covenants,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voting or other rights,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conversion or exchange prices or rates, if any, and, if applicable, any provisions for changes to or adjustments in the conversion or exchange prices or rates and in the securities or other property receivable upon conversion or exchange;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material or special U.S. federal income tax considerations, if any.</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THIS PROSPECTUS MAY NOT BE USED TO CONSUMMATE A SALE OF SECURITIES UNLESS IT IS ACCOMPANIED BY A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tbl>
      <w:tblPr>
        <w:tblW w:w="37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0"/>
        <w:gridCol w:w="900"/>
        <w:gridCol w:w="12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the names of those agents or underwriters;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51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12"/>
        <w:gridCol w:w="1312"/>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applicable fees, discounts and commissions to be paid to them;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details regarding overallotment options, if any;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the estimated net proceeds to us.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Class A Common Stock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shares of our Class A common stock from time to time. The holders of our Class A common stock are entitled to one vote for each share held on all matters submitted to a vote of stockholders, including the election of directors, and do not have cumulative voting rights. Subject to preferences that may be applicable to any outstanding shares of preferred stock, the holders of our Class A common stock are entitled to receive dividends, if and when declared by our board of directors, out of funds legally available therefor. Upon our liquidation, dissolution or winding up, our stockholders will be entitled to share ratably in all assets remaining available for distribution to them after payment of liabilities and after provision is made for each class of stock, if any, having preference over the Class A common stock. No shares of our Class A common stock are subject to redemption or have preemptive rights to purchase additional shares of our Class A common stock. In this prospectus, we have summarized certain general features of the Class A common stock under the heading “Description of Capital Stock—Class A Common Stock.” We urge you, however, to read the applicable prospectus supplement (and any related free writing prospectus that we may authorize to be provided to you) related to any Class A common stock being offered.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Preferred Stock</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We may issue shares of our preferred stock from time to time, in one or more series. Our amended and restated certificate of incorporation, as amended, provides that our board of directors has the authority, without action by the stockholders, to designate and issue u</w:t>
      </w:r>
      <w:r>
        <w:rPr>
          <w:rFonts w:ascii="Times New Roman;serif" w:hAnsi="Times New Roman;serif"/>
          <w:b w:val="false"/>
          <w:color w:val="000000"/>
          <w:sz w:val="16"/>
          <w:shd w:fill="FFFFFF" w:val="clear"/>
        </w:rPr>
        <w:t>p to 1,000,000 shares of preferred stock in one or more series and to fix the terms, limitations, voting rights, relative rights and preferences and variations of each series. Convertible preferred stock will be co</w:t>
      </w:r>
      <w:r>
        <w:rPr>
          <w:rFonts w:ascii="Times New Roman;serif" w:hAnsi="Times New Roman;serif"/>
          <w:b w:val="false"/>
          <w:color w:val="000000"/>
          <w:sz w:val="16"/>
        </w:rPr>
        <w:t>nvertible into our Class A common stock or exchangeable for other securities. Conversion may be mandatory or at the holder’s option and would be at prescribed conversion rates.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Debt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Warrants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Warrants may be issued under a warrant agreement that we enter into with a warrant agent. We will indicate the name and address of the warrant agent, if any, in the applicable prospectus supplement relating to a particular series of warrants.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 xml:space="preserve">Units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in one more series, units comprised of shares of our Class A common stock, preferred stock, debt securities, and/or warrants, in any combination. Each unit will be issued so that the holder of such unit is also the holder of each security included in the unit. Thus, the holder of a unit will have the rights and obligations of a holder of each included security. The unit agreement under which a unit is issued may provide that the securities included in such unit may not be held or transferred separately, at any time or at any time before a specified date.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Use of Proceeds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Implications of Being a Smaller Reporting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Nasdaq Global Select Market Listing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Our common stock is listed on the Nasdaq Global Select Market under the symbol “NDLS.” The applicable prospectus supplement will contain information, where applicable, as to other listings, if any, on the Nasdaq Global Select Market or any other securities market or other exchange of the securities covered by the applicable prospectus supplement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RISK FACTORS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Investing in our securities is speculative and involves a high degree of risk. You should consider carefully the risks described in the “Risk Factors” section of our Annual Report on Form 10-K for the year ended December 30, 2025, filed with the SEC on March 26, 2026, our subsequent Quarterly Reports on Form 10-Q, each as updated or superseded by the risks and uncertainties described under similar headings in other documents that are filed after the date hereof and incorporated by reference into this prospectus together with all of the other information contained in this prospectus and incorporated by reference herein, and any prospectus supplement and free writing prospectus that we may authorize for use in connection with this offering. If any of these risks occur, our business, financial condition, results of operations and future growth prospects could be materially and adversely affected. Additionally, these risks and uncertainties are not the only risks and uncertainties that we face. Additional risks and uncertainties not presently known to us or that we currently deem immaterial also may impair our business operations. In these circumstances, the market price of our securities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in the “Risk Factors” section of our Annual Report on Form 10-K, our Quarterly Report on Form 10-Q and other documents incorporated by reference and any prospectus supplement and free writing prospectus that we may authorize for use in connection with this offering. See the section titled “Special Note Regarding Forward-Looking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SPECIAL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16"/>
        </w:rPr>
        <w:t>Our filings with the SEC, including our Annual Report on Form 10-K for the fiscal year ended December 30, 2025 (the “2025 Form 10-K”), any subsequent Annual Report, any Quarterly Report on Form 10-Q or any Current Report on Form 8-K of Noodles &amp; Company (along with any exhibits and amendments to such reports), as well as our news releases or any other written or oral statements made by us or on our behalf, may include, directly or by incorporation by reference, forward-looking statements within the meaning of Section 27A of the Securities Act and Section 21E of the Exchange Act intended to be covered by the safe harbor provided for under these sections that reflect our current view (as of the date the forward-looking statement is first made) about future events, prospects, projections or financial performance. The matters discussed in these forwar</w:t>
      </w:r>
      <w:r>
        <w:rPr>
          <w:rFonts w:ascii="Times New Roman;serif" w:hAnsi="Times New Roman;serif"/>
          <w:b w:val="false"/>
          <w:color w:val="000000"/>
          <w:sz w:val="16"/>
          <w:shd w:fill="FFFFFF" w:val="clear"/>
        </w:rPr>
        <w:t xml:space="preserve">d-looking statements are subject to certain risks and uncertainties that could cause actual results to differ materially from those projected, anticipated or implied in or by such statements. These risks and uncertainties include, but are not limited to: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16"/>
          <w:shd w:fill="FFFFFF" w:val="clear"/>
        </w:rPr>
        <w:t xml:space="preserve">uncertainties as to the availability, suitability, structure, terms, and timing of any strategic transaction resulting from the strategic review and whether any such transaction will be completed, the impact of any such strategic transaction on Noodles &amp; Company, and whether the strategic benefits of any such strategic transaction can be achieved;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current performance trends and our expectations for future performance;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ability to repay, refinance or obtain new financing on acceptable terms, if at all, and comply with our covenants under our credit agreement, which matures on July 27, 2027;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ability to sustain our overall growth, including, our digital sales growth;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ability to effectively optimize our restaurant portfolio including closures;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ability to achieve and maintain increases in comparable restaurant sales and to successfully execute our business strategy, including operational strategies to improve the performance of our restaurant portfolio;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the success of our brand strategy and marketing efforts, including our ability to successfully introduce new menu items, including limited time offerings and the success of our promotions;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pricing strategies; economic conditions, including inflation, an economic recession, an elevated interest rate environment, tariffs and trade restrictions and any impact of government shutdowns on overall economic conditions and consumer spending;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price and availability of commodities and other supply chain challenges;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our ability to adequately staff our restaurants;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 xml:space="preserve">changes in labor costs;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our ability to maintain compliance with requirements for continued listing on the Nasdaq Global Select Market;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6"/>
        </w:rPr>
        <w:t>other conditions beyond our control such as domestic or global conflicts, wars, terrorist activity, weather, natural disasters, disease outbreaks, epidemics or pandemics impacting our customers or food supplies.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list of important factors is not intended to be exhaustive. The risk factors set forth in the section titled “Risk Factors” and incorporated by reference in this prospectus and any accompanying prospectus supplement discuss certain of these matters more fully. We discuss certain of these matters more fully, as well as certain other factors that may affect our business operations, financial condition, and results of operations, in our filings with the SEC, including our Annual Report on Form 10-K, Quarterly Reports on Form 10-Q and Current Reports on Form 8-K.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As and when made, we believe that our forward-looking statements are reasonable. However, as a result of a number of known and unknown risks and uncertainties, our actual results or performance may be materially different from those expressed or implied by these forward-looking statements. You should not place undue reliance on these forward-looking statements. The words “expect,” “anticipate,” “intend,” “plan,” “believe,” “will,” “should,” “could,” “would,” “project,” “continue,” “likely,” and similar expressions generally identify “forward-looking statements,” which speak only as of the date the statements were made, and also include statements reflecting future results or guidance, statements of outlook and expense accruals. We undertake no obligation to update or revise any forward-looking statements or to update the reasons actual results could differ materially from those anticipated, to reflect circumstances or events that occur after the statements are made, except to the extent required by applicable law.</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USE OF PROCEEDS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retain broad discretion over the use of the net proceeds from the sale of the securities offered hereby. Except as described in any applicable prospectus supplement or in any free writing prospectuses we have authorized for use in connection with a specific offering, we currently intend to use the net proceeds for working capital and general corporate purposes.</w:t>
      </w:r>
    </w:p>
    <w:p>
      <w:pPr>
        <w:pStyle w:val="TextBody"/>
        <w:bidi w:val="0"/>
        <w:spacing w:before="150" w:after="283"/>
        <w:jc w:val="both"/>
        <w:rPr/>
      </w:pPr>
      <w:r>
        <w:rPr/>
      </w:r>
    </w:p>
    <w:p>
      <w:pPr>
        <w:pStyle w:val="TextBody"/>
        <w:bidi w:val="0"/>
        <w:spacing w:before="150" w:after="283"/>
        <w:jc w:val="both"/>
        <w:rPr/>
      </w:pPr>
      <w:r>
        <w:rPr/>
      </w:r>
    </w:p>
    <w:p>
      <w:pPr>
        <w:pStyle w:val="TextBody"/>
        <w:bidi w:val="0"/>
        <w:spacing w:before="150" w:after="283"/>
        <w:jc w:val="both"/>
        <w:rPr/>
      </w:pPr>
      <w:r>
        <w:rPr/>
      </w:r>
    </w:p>
    <w:p>
      <w:pPr>
        <w:pStyle w:val="TextBody"/>
        <w:bidi w:val="0"/>
        <w:spacing w:before="150" w:after="283"/>
        <w:jc w:val="both"/>
        <w:rPr/>
      </w:pPr>
      <w:r>
        <w:rPr/>
      </w:r>
    </w:p>
    <w:p>
      <w:pPr>
        <w:pStyle w:val="TextBody"/>
        <w:bidi w:val="0"/>
        <w:spacing w:before="15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CAPITAL STOCK</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i/>
          <w:color w:val="000000"/>
          <w:sz w:val="16"/>
        </w:rPr>
      </w:pPr>
      <w:r>
        <w:rPr>
          <w:rFonts w:ascii="Times New Roman;serif" w:hAnsi="Times New Roman;serif"/>
          <w:b w:val="false"/>
          <w:i/>
          <w:color w:val="000000"/>
          <w:sz w:val="16"/>
        </w:rPr>
        <w:t>The following summary description of our capital stock is based on the provisions of our amended and restated certificate of incorporation and amended and restated bylaws, and the applicable provisions of the Delaware General Corporation Law. This information is qualified entirely by reference to the applicable provisions of our amended and restated certificate of incorporation, as amended (our “certificate of incorporation”) and second amended and restated bylaws (our “bylaws”). For information on how to obtain copies of our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General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following description summarizes some of the terms of our certificate of incorporation and our bylaws, and of the Delaware General Corporation Law. Because it is only a summary, it does not contain all the information that may be important to you. For a complete description, you should refer to our certificate of incorporation and bylaws, copies of which have been filed as exhibits to the registration statement of which this prospectus is part.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Our authorized capital stock consists of 150,000,000 shares of Class A common stock, par value $0.01 per share, which we refer to in this prospectus as Class A common stock, 30,000,000 shares of Class B common stock, par value $0.01 per share, which we refer to in this prospectus as Class B common stock, and 1,000,000 shares of undesignated preferred stock, par value $0.01 per share, which we refer to in this prospectus as preferred stock.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Class A Common Stock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As of June 30, 2026, there were 5,852,349 shares of Class A common stock outstanding held by 25 stockholders of record.</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There are 150,000,000 shares of our Class A common stock authorized for issuance. Pursuant to our certificate of incorporation, holders of our Class A stock are entitled to one vote on all matters submitted to a vote of stockholders; provided, however, that, except as otherwise required by law, holders of Class A common stock, as such, are not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Holders of Class A common stock are not entitled to cumulative voting in the election of directors. Shares of our Class A common stock are convertible on a share-for-share basis into shares of our Class B common stock at the election of the holder. Subject to the rights, if any, of the holders of any outstanding series of preferred stock, holders of our Class A common stock will be entitled to receive dividends out of any of our funds legally available when, as and if declared by the board of directors. Upon the dissolution, liquidation or winding up of the company, subject to the rights, if any, of the holders of our preferred stock, the holders of our Class A common stock shall be entitled to receive the assets of the company available for distribution to its stockholders ratably in proportion to the number of shares held by them. Holders of Class A common stock do not have preemptive rights or other subscription rights. There are no redemption or sinking fund provisions applicable to our Class A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Class B Common Stock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As of June 30, 2026, there were no shares of Class B common stock outstanding.</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There are 30,000,000 shares of our Class B common stock authorized for issuance. Pursuant to our certificate of incorporation, our Class B common stock has the same rights as our Class A common stock except that holders of our Class B common stock, in their capacity as such, are not entitled to vote in the election or removal of directors unless such Class B common stock is converted into Class A common stock. Shares of our Class B common stock are convertible on a share-for-share basis into shares of our Class A common stock at the election of the holder. Subject to the rights, if any, of the holders of any outstanding series of preferred stock, holders of our Class B common stock will be entitled to receive dividends out of any of our funds legally available when, as and if declared by our board of directors. Upon our dissolution, liquidation or winding up, subject to the rights, if any, of the holders of our preferred stock, the holders of shares of our common stock will be entitled to receive the assets of the company available for distribution to its stockholders ratably in proportion to the number of shares held by them. Holders of Class B common stock do not have preemptive rights or other subscription rights. There are no redemption or sinking fund provisions applicable to our Class B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Preferred Stock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As of June 30, 2026, there were no shares of preferred stock outstanding.</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Our board of directors is authorized to issue not more than an aggregate of 1,000,000 shares of preferred stock in one or more series, without stockholder approval. Our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also is able to increase or decrease the number of shares of any series of preferred stock, but not below the number of shares of that series of preferred stock then outstanding, without any further vote or action by the stockholders. In the future, our board of directors may authorize the issuance of preferred stock with voting or conversion rights that could harm the voting power or other rights of the holders of our common stock, or that could decrease the amount of earnings and assets available for distribution to the holders of our common stock. The issuance of our preferred stock, while providing flexibility in connection with possible acquisitions and other corporate purposes, could, among other consequences, have the effect of delaying, deferring or preventing a change in our control and might harm the market price of our common stock and the voting and other rights of the holders of common stock.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Warrants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As of June 30, 2026, there were no warrants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Registration Rights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the section of our Annual Report on Form 10-K for the fiscal year ended December 30, 2025 entitled “Certain Relationships and Related Transactions, and Director Independence.”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Voting Rights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Pursuant to our certificate of incorporation, holders of our Class A common stock are entitled to one vote on all matters submitted to a vote of stockholders; provided, however, that, except as otherwise required by law, holders of Class A common stock, as such, are not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Holders of Class A common stock are not entitled to cumulative voting in the election of directors.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Classification of Board of Directors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Our board of directors is divided into three classes, each serving staggered three-year terms. As a result, only a portion of our board of directors is elected each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Dividends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Subject to the rights, if any, of the holders of any outstanding series of preferred stock, holders of our Class A common stock will be entitled to receive dividends out of any of our funds legally available when, as and if declared by the board of directors.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Preemptive Rights; Subscription Rights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Holders of Class A common stock do not have preemptive rights or other subscription rights.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Redemption Rights; Sinking Fund Provisions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There are no redemption or sinking fund provisions applicable to our Class A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Other Rights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Upon the dissolution, liquidation or winding up of the company, subject to the rights, if any, of the holders of our preferred stock, the holders of our common stock shall be entitled to receive the assets of the company available for distribution to its stockholders ratably in proportion to the number of shares held by them. The outstanding shares of our Class A common stock are fully paid and nonassessable.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Anti-Takeover Effects of Delaware Law, Our Certificate of Incorporation and Our Bylaws.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Certain provisions of Delaware law and our certificate of incorporation and bylaws could make an acquisition of us more difficult. These provisions of the General Corporation Law of the State of Delaware (the “DGCL”) could prohibit or delay mergers or other takeover or change in control attempts and, accordingly, may discourage attempts to acquire us. These provisions, summarized below, are expected to discourage certain types of coercive takeover practices and inadequate takeover bids and are designed to encourage persons seeking to acquire control of us to negotiate with our board of directors.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Stockholder meetings</w:t>
      </w:r>
      <w:r>
        <w:rPr>
          <w:rFonts w:ascii="Times New Roman;serif" w:hAnsi="Times New Roman;serif"/>
          <w:b w:val="false"/>
          <w:color w:val="000000"/>
          <w:sz w:val="16"/>
          <w:shd w:fill="FFFFFF" w:val="clear"/>
        </w:rPr>
        <w:t>. Under our certificate of incorporation, only the board of directors, or the chairman of the board of directors or the Chief Executive Officer with the concurrence of a majority of the board of directors may call special meetings of stockholders.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Requirements for advance notification of stockholder nominations and proposals</w:t>
      </w:r>
      <w:r>
        <w:rPr>
          <w:rFonts w:ascii="Times New Roman;serif" w:hAnsi="Times New Roman;serif"/>
          <w:b w:val="false"/>
          <w:color w:val="000000"/>
          <w:sz w:val="16"/>
          <w:shd w:fill="FFFFFF" w:val="clear"/>
        </w:rPr>
        <w:t>. Our bylaws establish advance notice procedures with respect to stockholder proposals and the nomination of candidates for election as directors.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Elimination of stockholder action by written consent</w:t>
      </w:r>
      <w:r>
        <w:rPr>
          <w:rFonts w:ascii="Times New Roman;serif" w:hAnsi="Times New Roman;serif"/>
          <w:b w:val="false"/>
          <w:color w:val="000000"/>
          <w:sz w:val="16"/>
          <w:shd w:fill="FFFFFF" w:val="clear"/>
        </w:rPr>
        <w:t>. Our certificate of incorporation eliminates the right of stockholders to act by written consent without a meeting. This provision will, in certain situations make it more difficult for stockholders to take action opposed by the board of directors.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Election and removal of directors</w:t>
      </w:r>
      <w:r>
        <w:rPr>
          <w:rFonts w:ascii="Times New Roman;serif" w:hAnsi="Times New Roman;serif"/>
          <w:b w:val="false"/>
          <w:color w:val="000000"/>
          <w:sz w:val="16"/>
          <w:shd w:fill="FFFFFF" w:val="clear"/>
        </w:rPr>
        <w:t>. Our board of directors is divided into three classes, each serving staggered three-year terms. As a result, only a portion of our board of directors is elected each year. The board of directors has the exclusive right to increase or decrease the size of the board and to fill vacancies on the board. This system of electing directors may discourage a third party from making a tender offer or otherwise attempting to obtain control of us, because it generally makes replacing a majority of directors more difficult for stockholders. Additionally, directors may be removed for cause only with the approval of the holders of a majority of the aggregate voting power of our outstanding Class A common stock and any series of preferred stock entitled to vote generally in the election of directors. Directors may be removed without cause only with the approval of two-thirds of the aggregate voting power of our outstanding Class A common stock and any series of preferred stock entitled to vote generally in the election of directors.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Undesignated preferred stock</w:t>
      </w:r>
      <w:r>
        <w:rPr>
          <w:rFonts w:ascii="Times New Roman;serif" w:hAnsi="Times New Roman;serif"/>
          <w:b w:val="false"/>
          <w:color w:val="000000"/>
          <w:sz w:val="16"/>
          <w:shd w:fill="FFFFFF" w:val="clear"/>
        </w:rPr>
        <w:t>. The authorization of undesignated preferred stock makes it possible for our board of directors, without stockholder approval, to issue preferred stock with voting or other rights or preferences that could impede the success of any attempt to obtain control of us. These and other provisions may have the effect of deterring hostile takeovers or delaying changes in control or management of the company.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Amendment of provisions in the certificate of incorporation</w:t>
      </w:r>
      <w:r>
        <w:rPr>
          <w:rFonts w:ascii="Times New Roman;serif" w:hAnsi="Times New Roman;serif"/>
          <w:b w:val="false"/>
          <w:color w:val="000000"/>
          <w:sz w:val="16"/>
          <w:shd w:fill="FFFFFF" w:val="clear"/>
        </w:rPr>
        <w:t>. Our certificate of incorporation requires the affirmative vote of the holders of at least two-thirds of the aggregate voting power of our outstanding Class A common stock and any series of preferred stock entitled to vote generally in the election of directors in order to amend any provision of our certificate of incorporation.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16"/>
          <w:shd w:fill="FFFFFF" w:val="clear"/>
        </w:rPr>
        <w:t>Amendment of provisions in the bylaws</w:t>
      </w:r>
      <w:r>
        <w:rPr>
          <w:rFonts w:ascii="Times New Roman;serif" w:hAnsi="Times New Roman;serif"/>
          <w:b w:val="false"/>
          <w:color w:val="000000"/>
          <w:sz w:val="16"/>
          <w:shd w:fill="FFFFFF" w:val="clear"/>
        </w:rPr>
        <w:t>. Our bylaws require the affirmative vote of the holders of at least two-thirds of the aggregate voting power of our outstanding Class A common stock and any series of preferred stock entitled to vote generally in the election of directors in order to amend any provision of our bylaws.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Delaware Anti-Takeover Statute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We are not governed by Section 203 of the DGCL.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Transfer Agent and Registrar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Equiniti Trust Company is the transfer agent and registrar for our Class A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Listing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Our Class A common stock is listed on the Nasdaq Global Select Market under the symbol “NDLS”.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both"/>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DEBT SECURITIES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General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describe in the applicable prospectus supplement the terms of the series of debt securities being offered,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7"/>
        <w:gridCol w:w="2768"/>
        <w:gridCol w:w="39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title of the series of debt securities;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limit upon the aggregate principal amount that may be issued;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maturity date or 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form of the debt securities of the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applicability of any guarantees;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whether or not the debt securities will be secured or unsecured, and the terms of any secured debt;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whether the debt securities rank as senior debt, senior subordinated debt, subordinated debt or any combination thereof, and the terms of any subordination;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5"/>
        <w:gridCol w:w="2743"/>
        <w:gridCol w:w="3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our right, if any, to defer payment of interest and the maximum length of any such deferral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denominations in which we will issue the series of debt securities, if other than denominations of $1,000 and any integral multiple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7"/>
        <w:gridCol w:w="2704"/>
        <w:gridCol w:w="3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whether the debt securities of the series shall be issued in whole or in part in the form of a global security or securities;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and conditions, if any, upon which such global security or securities may be exchanged in whole or in part for other individual securities; and the depositary for such global security or securities;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other than the full principal amount thereof, the portion of the principal amount of debt securities of the series which shall be payable upon declaration of acceleration of the maturity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additions to or changes in the covenants applicable to the particular debt securities being issued, including, among others, the consolidation, merger or sale covenant;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additions to or changes in the events of default with respect to the securities and any change in the right of the trustee or the holders to declare the principal, premium, if any, and interest, if any, with respect to such securities to be due and payable;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additions to or changes in or deletions of the provisions relating to covenant defeasance and legal defeasance;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additions to or changes in the provisions relating to satisfaction and discharge of the indenture;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additions to or changes in the provisions relating to the modification of the indenture both with and without the consent of holders of debt securities issued under the indenture;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currency of payment of debt securities if other than U.S. dollars and the manner of determining the equivalent amount in U.S. dollars;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whether interest will be payable in cash or additional debt securities at our or the holders’ option and the terms and conditions upon which the election may be made;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and conditions, if any, upon which we will pay amounts in addition to the stated interest, premium, if any and principal amounts of the debt securities of the series to any holder that is not a “United States person” for federal tax purposes;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restrictions on transfer, sale or assignment of the debt securities of the series;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Conversion or Exchange Rights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Consolidation, Merger, or Sale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Events of Default under the Indenture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we provide otherwise in the prospectus supplement applicable to a particular series of debt securities, the following are events of default under the indenture with respect to any series of debt securities that we may issue: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9"/>
        <w:gridCol w:w="2770"/>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if specified events of bankruptcy, insolvency or reorganization occur.</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5"/>
        <w:gridCol w:w="2772"/>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direction so given by the holder is not in conflict with any law or the applicable indenture;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 holder of the debt securities of any series will have the right to institute a proceeding under the indenture or to appoint a receiver or trustee, or to seek other remedies only if:</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8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holder has given written notice to the trustee of a continuing event of default with respect to that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holders of at least 25% in aggregate principal amount of the outstanding debt securities of that series have made written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such holders have offered to the trustee indemnity satisfactory to it against the costs, expenses and liabilities to be incurred by the trustee in compliance with the request;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These limitations do not apply to a suit instituted by a holder of debt securities if we default in the payment of the principal, premium, if any, or interest on, the debt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periodically file statements with the trustee regarding our compliance with specified covenants in the indenture.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Modification of Indenture; Waiver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and the trustee may change an indenture without the consent of any holders with respect to specific matters:</w:t>
      </w:r>
    </w:p>
    <w:tbl>
      <w:tblPr>
        <w:tblW w:w="9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5"/>
        <w:gridCol w:w="2455"/>
        <w:gridCol w:w="3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cure any ambiguity, defect or inconsistency in the indenture or in the debt securities of any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comply with the provisions described above under “Description of Debt Securities—Consolidation, Merger, or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provide for uncertificated debt securities in addition to or in place of certificated debt securities;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add to, delete from or revise the conditions, limitations, and restrictions on the authorized amount, terms, or purposes of issue, authentication and delivery of debt securities, as set forth in the indenture;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0"/>
        <w:gridCol w:w="2739"/>
        <w:gridCol w:w="3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make any change that does not adversely affect the interests of any holder of debt securities of any series in any material respect;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evidence and provide for the acceptance of appointment under any indenture by a successor trustee;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to comply with any requirements of the SEC in connection with the qualification of any indenture under the Trust Indenture Act.</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5"/>
        <w:gridCol w:w="2774"/>
        <w:gridCol w:w="39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extending the fixed maturity of any debt securities of any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reducing the principal amount, reducing the rate of or extending the time of payment of interest, or reducing any premium payable upon the redemption of any series of any debt securities;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reducing the percentage of debt securities, the holders of which are required to consent to any amendment, supplement, modification or waiver.</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Discharge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Each indenture provides that we can elect to be discharged from our obligations with respect to one or more series of debt securities, except for specified obligations, including obligations to:</w:t>
      </w:r>
    </w:p>
    <w:tbl>
      <w:tblPr>
        <w:tblW w:w="62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22"/>
        <w:gridCol w:w="1622"/>
        <w:gridCol w:w="2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provide for payment;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register the transfer or exchange of debt securities of the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replace stolen, lost or mutilated debt securities of the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pay principal of and premium and interest on any debt securities of the series;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maintain paying agencies;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hold monies for payment in trust;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recover excess money held by the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compensate and indemnify the trustee;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appoint any successor trustee.</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Form, Exchange and Transfer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the holder presents for transfer or exchange, we will impose no service charge for any registration of transfer or exchange, but we may require payment of any taxes or other governmental charges.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If we elect to redeem the debt securities of any series, we will not be required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7"/>
        <w:gridCol w:w="2781"/>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register the transfer of or exchange any debt securities so selected for redemption, in whole or in part, except the unredeemed portion of any debt securities we are redeeming in part.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No Personal Liability of Directors, Officers, Employees or Securityholders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Information Concerning the Trustee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Payment and Paying Agents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Governing Law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indenture and the debt securities will be governed by and construed in accordance with the internal laws of the State of New York, except to the extent that the Trust Indenture Act is applicable.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center"/>
        <w:rPr/>
      </w:pPr>
      <w:r>
        <w:rPr>
          <w:rFonts w:ascii="Times New Roman;serif" w:hAnsi="Times New Roman;serif"/>
          <w:b/>
          <w:color w:val="000000"/>
          <w:sz w:val="16"/>
        </w:rPr>
        <w:t>DESCRIPTION OF WARRANTS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General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describe in the applicable prospectus supplement the terms of the series of warrants being offered, including:</w:t>
      </w:r>
    </w:p>
    <w:tbl>
      <w:tblPr>
        <w:tblW w:w="26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5"/>
        <w:gridCol w:w="565"/>
        <w:gridCol w:w="8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title of such securities;</w:t>
            </w:r>
          </w:p>
        </w:tc>
      </w:tr>
    </w:tbl>
    <w:tbl>
      <w:tblPr>
        <w:tblW w:w="50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87"/>
        <w:gridCol w:w="1287"/>
        <w:gridCol w:w="1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offering price and aggregate number of warrants offered;</w:t>
            </w:r>
          </w:p>
        </w:tc>
      </w:tr>
    </w:tbl>
    <w:tbl>
      <w:tblPr>
        <w:tblW w:w="46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61"/>
        <w:gridCol w:w="1161"/>
        <w:gridCol w:w="16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7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currency for which the warrants may be purchased;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applicable, the designation and terms of the securities with which the warrants are issued and the number of warrants issued with each such security or each principal amount of such security;</w:t>
            </w:r>
          </w:p>
        </w:tc>
      </w:tr>
    </w:tbl>
    <w:tbl>
      <w:tblPr>
        <w:tblW w:w="8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67"/>
        <w:gridCol w:w="2267"/>
        <w:gridCol w:w="3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applicable, the date on and after which the warrants and the related securities will be separately transferable;</w:t>
            </w:r>
          </w:p>
        </w:tc>
      </w:tr>
    </w:tbl>
    <w:tbl>
      <w:tblPr>
        <w:tblW w:w="8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4"/>
        <w:gridCol w:w="2224"/>
        <w:gridCol w:w="31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if applicable, the minimum or maximum amount of such warrants which may be exercised at any one time;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 the case of warrants to purchase debt securities, the principal amount of debt securities purchasable upon exercise of one warrant and the price at, and currency in which, this principal amount of debt securities may be purchased upon such exercise;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bl>
    <w:tbl>
      <w:tblPr>
        <w:tblW w:w="94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8"/>
        <w:gridCol w:w="2568"/>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effect of any merger, consolidation, sale or other disposition of our business on the warrant agreements and the warrants;</w:t>
            </w:r>
          </w:p>
        </w:tc>
      </w:tr>
    </w:tbl>
    <w:tbl>
      <w:tblPr>
        <w:tblW w:w="4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26"/>
        <w:gridCol w:w="1126"/>
        <w:gridCol w:w="16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of any rights to redeem or call the warrants;</w:t>
            </w:r>
          </w:p>
        </w:tc>
      </w:tr>
    </w:tbl>
    <w:tbl>
      <w:tblPr>
        <w:tblW w:w="49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49"/>
        <w:gridCol w:w="1249"/>
        <w:gridCol w:w="1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7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of any rights to force the exercise of the warrants;</w:t>
            </w:r>
          </w:p>
        </w:tc>
      </w:tr>
    </w:tbl>
    <w:tbl>
      <w:tblPr>
        <w:tblW w:w="97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5"/>
        <w:gridCol w:w="2645"/>
        <w:gridCol w:w="3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provisions for changes to or adjustments in the exercise price or number of securities issuable upon exercise of the warrants;</w:t>
            </w:r>
          </w:p>
        </w:tc>
      </w:tr>
    </w:tbl>
    <w:tbl>
      <w:tblPr>
        <w:tblW w:w="63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7"/>
        <w:gridCol w:w="1657"/>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dates on which the right to exercise the warrants will commence and expire;</w:t>
            </w:r>
          </w:p>
        </w:tc>
      </w:tr>
    </w:tbl>
    <w:tbl>
      <w:tblPr>
        <w:tblW w:w="60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6"/>
        <w:gridCol w:w="1586"/>
        <w:gridCol w:w="2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manner in which the warrant agreements and warrants may be modified;</w:t>
            </w:r>
          </w:p>
        </w:tc>
      </w:tr>
    </w:tbl>
    <w:tbl>
      <w:tblPr>
        <w:tblW w:w="88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84"/>
        <w:gridCol w:w="2384"/>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 discussion of any material or special U.S. federal income tax considerations of holding or exercising the warrants;</w:t>
            </w:r>
          </w:p>
        </w:tc>
      </w:tr>
    </w:tbl>
    <w:tbl>
      <w:tblPr>
        <w:tblW w:w="55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36"/>
        <w:gridCol w:w="1436"/>
        <w:gridCol w:w="2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of the securities issuable upon exercise of the warrants; and</w:t>
            </w:r>
          </w:p>
        </w:tc>
      </w:tr>
    </w:tbl>
    <w:tbl>
      <w:tblPr>
        <w:tblW w:w="71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94"/>
        <w:gridCol w:w="1894"/>
        <w:gridCol w:w="2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other specific terms, preferences, rights or limitations of or restrictions on the warrants.</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Before exercising their warrants, holders of warrants will not have any of the rights of holders of the securities purchasable upon such exercise,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 the case of warrants to purchase debt securities, the right to receive payments of principal of, or premium, if any, or interest on, the debt securities purchasable upon exercise or to enforce covenants in the applicable indenture;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 the case of warrants to purchase Class A common stock or preferred stock, the right to receive dividends, if any, or, payments upon our liquidation, dissolution or winding up or to exercise voting rights, if any.</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Exercise of Warrants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Governing Law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we otherwise specify in the applicable prospectus supplement, the warrants and any warrant agreements will be governed by and construed in accordance with the laws of the State of New York.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Enforceability of Rights by Holders of Warrants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DESCRIPTION OF UNITS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The following description summarizes the general provisions of units that we may offer from time to time pursuant to the registration statement of which this prospectus is a part. In connection with an offering of units, our Board of Directors will adopt a unit agreement and unit certificates that set forth the terms and conditions of the particular series of our units, and we will describe the specific terms of our units and the offering in a prospectus supplement. We also will file as exhibits to the registration statement, or will incorporate by reference from reports that we file with the SEC, the form of unit agreement and unit certificate. The information below, and any description of our units in a prospectus supplement, is only a summary and is subject to and qualified in its entirety by reference to the unit agreement and unit certificate for the particular series of our units.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General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in one more series, units comprised of shares of our Class A common stock, preferred stock, debt securities and/or warrants, in any combination. Each unit will be issued so that the holder of such unit is also the holder of each security included in the unit. Thus, the holder of a unit will have the rights and obligations of a holder of each included security. The unit agreement under which a unit is issued may provide that the securities included in such unit may not be held or transferred separately, at any time or at any time before a specified date.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describe in the applicable prospectus supplement the terms of the series of our units being offered,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designation and terms of our units and of our securities comprising our units, including whether and under what circumstances those securities may be held or transferred separately;</w:t>
            </w:r>
          </w:p>
        </w:tc>
      </w:tr>
    </w:tbl>
    <w:tbl>
      <w:tblPr>
        <w:tblW w:w="44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terms of the unit agreement governing the units;</w:t>
            </w:r>
          </w:p>
        </w:tc>
      </w:tr>
    </w:tbl>
    <w:tbl>
      <w:tblPr>
        <w:tblW w:w="88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84"/>
        <w:gridCol w:w="2384"/>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 discussion of any material and/or special United States federal income tax considerations relevant to the units; and</w:t>
            </w:r>
          </w:p>
        </w:tc>
      </w:tr>
    </w:tbl>
    <w:tbl>
      <w:tblPr>
        <w:tblW w:w="96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4"/>
        <w:gridCol w:w="2634"/>
        <w:gridCol w:w="37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provisions for the issuance, payment, settlement, transfer or exchange of our units or of our securities comprising our units.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Unit Agent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issue our units under an agreement between us and one or more unit agents. If we elect to enter into an agreement with a unit agent, the unit agent will act solely as our agent in connection with our units and will not assume any obligation or relationship of agency or trust for or with any registered holders of our units or beneficial owners of our units. We will indicate the name and address and other information regarding the unit agent in the applicable prospectus supplement relating to a particular series of our units if we elect to use a unit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PLAN OF DISTRIBUTION</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sell the securities from time to time pursuant to underwritten public offerings, direct sales to the public,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tbl>
      <w:tblPr>
        <w:tblW w:w="42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43"/>
        <w:gridCol w:w="1043"/>
        <w:gridCol w:w="14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at a fixed price or prices, which may be changed;</w:t>
            </w:r>
          </w:p>
        </w:tc>
      </w:tr>
    </w:tbl>
    <w:tbl>
      <w:tblPr>
        <w:tblW w:w="3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64"/>
        <w:gridCol w:w="964"/>
        <w:gridCol w:w="1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at market prices prevailing at the time of sale;</w:t>
            </w:r>
          </w:p>
        </w:tc>
      </w:tr>
    </w:tbl>
    <w:tbl>
      <w:tblPr>
        <w:tblW w:w="44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1"/>
        <w:gridCol w:w="1091"/>
        <w:gridCol w:w="1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at prices related to such prevailing market prices; or</w:t>
            </w:r>
          </w:p>
        </w:tc>
      </w:tr>
    </w:tbl>
    <w:tbl>
      <w:tblPr>
        <w:tblW w:w="21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8"/>
        <w:gridCol w:w="448"/>
        <w:gridCol w:w="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at negotiated prices.</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tbl>
      <w:tblPr>
        <w:tblW w:w="60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6"/>
        <w:gridCol w:w="1576"/>
        <w:gridCol w:w="2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name or names of any underwriters, dealers, agents or other purchasers;</w:t>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8"/>
        <w:gridCol w:w="2508"/>
        <w:gridCol w:w="3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purchase price of the securities or other consideration therefor, and the proceeds, if any, we will receive from the sale;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options to purchase additional shares or other options under which underwriters, dealers, agents or other purchasers may purchase additional securities from us;</w:t>
            </w:r>
          </w:p>
        </w:tc>
      </w:tr>
    </w:tbl>
    <w:tbl>
      <w:tblPr>
        <w:tblW w:w="84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84"/>
        <w:gridCol w:w="2284"/>
        <w:gridCol w:w="3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agency fees or underwriting discounts and other items constituting agents’ or underwriters’ compensation;</w:t>
            </w:r>
          </w:p>
        </w:tc>
      </w:tr>
    </w:tbl>
    <w:tbl>
      <w:tblPr>
        <w:tblW w:w="26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6"/>
        <w:gridCol w:w="566"/>
        <w:gridCol w:w="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public offering price;</w:t>
            </w:r>
          </w:p>
        </w:tc>
      </w:tr>
    </w:tbl>
    <w:tbl>
      <w:tblPr>
        <w:tblW w:w="5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31"/>
        <w:gridCol w:w="1531"/>
        <w:gridCol w:w="21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discounts or concessions allowed or reallowed or paid to dealers; and</w:t>
            </w:r>
          </w:p>
        </w:tc>
      </w:tr>
    </w:tbl>
    <w:tbl>
      <w:tblPr>
        <w:tblW w:w="57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99"/>
        <w:gridCol w:w="1499"/>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any securities exchange or market on which the securities may be listed.</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Market or any other securities exchange or quotation or trading service on which such securities may be listed, quoted or traded at the time of sale. Such at the market offerings, if any, may be conducted by underwriters acting as principal or agent.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use underwriters, dealers or agents with whom we have a material relationship. In such case, we will describe in the prospectus supplement the name of the underwriter, dealer or agent and the nature of any such relationship.</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Any underwriters, dealers or agents that are qualified market makers on the Nasdaq Global Select Market may engage in passive market making transactions in our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LEGAL MATTERS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Unless otherwise indicated in the applicable prospectus supplement, Baker &amp; Hostetler LLP, Cleveland, Ohio will pass upon the validity of the securities offered by this prospectus and any supplement thereto. Additional legal matters may be passed upon for us or any underwriters, dealers, or agents by counsel that will be named in the applicable prospectus supplement.</w:t>
      </w:r>
    </w:p>
    <w:p>
      <w:pPr>
        <w:pStyle w:val="TextBody"/>
        <w:bidi w:val="0"/>
        <w:spacing w:before="15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EXPERTS</w:t>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audited financial statements as of December 30, 2025 and for the period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consolidated financial statements of Noodles &amp; Company for the year ended December 31, 2024, appearing in Noodles &amp; Company’s Annual Report (Form 10-K) for the year ended December 30,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WHERE YOU CAN FIND MORE INFORMATION</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www.noodles.com. Information contained on or accessible through our website is not a part of this prospectus and is not incorporated by reference herein, and the inclusion of our website address in this prospectus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INCORPORATION OF CERTAIN INFORMATION BY REFERENCE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SEC allows us to “incorporate by reference” certain of the information that we file with it after the date of the filing of the registration statement of which this prospectus forms a part, which means that we can disclose important information to you by referring you to the documents containing that information. The information incorporated by reference is considered to be part of this prospectus, and later information that we file with the SEC will automatically update and supersede this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documents listed below are incorporated by reference in this prospectus (excluding any information furnished pursuant to Item 2.02 or Item 7.01 on any Current Report on Form 8-K and exhibits filed on such form that are related to such items unless such Form 8-K expressly provides to the contrary) until the termination of the offering under this registration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1"/>
        <w:gridCol w:w="2765"/>
        <w:gridCol w:w="3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our Annual Report on Form 10-K for the fiscal year ended December 30, 2025, filed on March 26,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our Quarterly Reports on Form 10-Q for the quarter ended March 31, 2026 filed on May 7, 2026 and the quarter ended June 30, 2026 filed on July 24,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our Current Reports on Form 8-K filed (except for items 2.02 and 7.01) on February 4, 2026, February 13, 2026, March 9, 2026, March 30, 2026 and May 14, 2026;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the description of our capital stock set forth in Exhibit 4.2 to the registration statement of which this prospectus forms a part, together with any amendments or reports filed for the purpose of updating such description.</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All documents we file with the SEC pursuant to Sections 13(a), 13(c), 14 or 15(d) of the Exchange Act, except as to any portion of any report or document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this prospectus has been withdrawn, shall be deemed incorporated by reference in this prospectus and to be a part of this prospectus from the date of filing of those documents. The information in documents that we file in the future will update and supersede the information currently included and incorporated by reference in this prospectus.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Noodles &amp; Company </w:t>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520 Zang Street, Suite D </w:t>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Broomfield, Colorado 80021 </w:t>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(720) 214-1900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Copies of certain information filed by us with the SEC, including our Annual Report on Form 10-K and Current Reports on Form 8-K, are also available on our website at https://noodles.com. Information contained on our website or accessible through our website is not incorporated by reference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You should read the information relating to us in this prospectus together with the information in the documents incorporated by reference. Nothing contained herein shall be deemed to incorporate information furnished, but not filed,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PART II</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INFORMATION NOT REQUIRED IN THE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Item 14. Other Expenses of Issuance and Distribution.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The following table sets forth an estimate of the fees and expenses, other than the underwriting discounts and commissions, payable by us in connection with the issuance and distribution of the securities being registered. </w:t>
      </w:r>
    </w:p>
    <w:tbl>
      <w:tblPr>
        <w:tblW w:w="4890" w:type="dxa"/>
        <w:jc w:val="left"/>
        <w:tblInd w:w="0" w:type="dxa"/>
        <w:tblLayout w:type="fixed"/>
        <w:tblCellMar>
          <w:top w:w="28" w:type="dxa"/>
          <w:left w:w="28" w:type="dxa"/>
          <w:bottom w:w="28" w:type="dxa"/>
          <w:right w:w="28" w:type="dxa"/>
        </w:tblCellMar>
      </w:tblPr>
      <w:tblGrid>
        <w:gridCol w:w="1200"/>
        <w:gridCol w:w="1056"/>
        <w:gridCol w:w="1059"/>
        <w:gridCol w:w="460"/>
        <w:gridCol w:w="460"/>
        <w:gridCol w:w="655"/>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To Be Paid</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 registration fee</w:t>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$13,810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Nasdaq Global Market fee</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FINRA filing fee</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Accounting fees and expenses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fees and expenses</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agent and registrar fees and expenses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Printing and miscellaneous fees and expenses</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5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$13,810</w:t>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fees are calculated based on the securities offered and the number of issuances and accordingly cannot be estimated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Item 15. Indemnification of Directors and Officers.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Subsection (a) of Section 145 of the Delaware General Corporation Law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 xml:space="preserve">Section 102(b)(7) of the Delaware General Corporation Law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w:t>
      </w:r>
      <w:r>
        <w:rPr>
          <w:rFonts w:ascii="Times New Roman;serif" w:hAnsi="Times New Roman;serif"/>
          <w:b w:val="false"/>
          <w:color w:val="000000"/>
          <w:sz w:val="16"/>
          <w:shd w:fill="FFFFFF" w:val="clear"/>
        </w:rPr>
        <w:t>not in good faith or which involve intentional misconduct or a knowing violation of law, (iii) under Section 174 of the Delaware General Corporation Law or (iv) for any transaction from which the director or officer derived an improper personal benefit.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Our certificate of incorporation and our bylaws provide that we shall indemnify our directors and officers, and may indemnify our employees and other agents, to the maximum extent permitted by the Delaware General Corporation Law, and our bylaws provide that we shall indemnify directors, officers, employees and other agents to the maximum extent permitted by the Delaware General Corporation Law.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In addition, we have entered into indemnification agreements with each of our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officers.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is intended as a summary only and is qualified in its entirety by reference to the certificate of incorporation and our bylaws, both of which have been filed with the SEC and are included as an exhibit to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Item 16. Exhibits.</w:t>
      </w:r>
    </w:p>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w:t>
            </w:r>
          </w:p>
        </w:tc>
        <w:tc>
          <w:tcPr>
            <w:tcW w:w="4578"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0"/>
        <w:gridCol w:w="309"/>
        <w:gridCol w:w="311"/>
        <w:gridCol w:w="109"/>
        <w:gridCol w:w="109"/>
        <w:gridCol w:w="109"/>
        <w:gridCol w:w="2562"/>
        <w:gridCol w:w="2490"/>
        <w:gridCol w:w="2499"/>
        <w:gridCol w:w="109"/>
        <w:gridCol w:w="109"/>
        <w:gridCol w:w="109"/>
        <w:gridCol w:w="109"/>
        <w:gridCol w:w="109"/>
        <w:gridCol w:w="109"/>
        <w:gridCol w:w="109"/>
        <w:gridCol w:w="109"/>
        <w:gridCol w:w="109"/>
        <w:gridCol w:w="109"/>
        <w:gridCol w:w="109"/>
        <w:gridCol w:w="158"/>
      </w:tblGrid>
      <w:tr>
        <w:trPr/>
        <w:tc>
          <w:tcPr>
            <w:tcW w:w="3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Underwriting Agreement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Amended and Restated Certificate of Incorporation (incorporated herein by reference to the Company’s Form S-1 (File No. 333-192402) filed on November 11,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Certificate of Amendment of Amended and Restated Certificate of Incorporation (incorporated herein by reference to the Company’s Current Report on Form 8-K (File No. 001-35987) filed on February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Second Amended and Restated Bylaws (incorporated herein by reference to the Company’s Current Report on Form 8-K (File No. 001-35987) filed on August 24,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Form of Class A Common Stock Certificate (incorporated herein by reference to the Company’s Form S-1/A (File No. 333-192402) filed on June 17,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42descriptionofsecurities.htm">
              <w:r>
                <w:rPr>
                  <w:rStyle w:val="InternetLink"/>
                  <w:rFonts w:ascii="Times New Roman;serif" w:hAnsi="Times New Roman;serif"/>
                  <w:b w:val="false"/>
                  <w:color w:val="000080"/>
                  <w:sz w:val="16"/>
                  <w:u w:val="single"/>
                  <w:shd w:fill="FFFFFF" w:val="clear"/>
                </w:rPr>
                <w:t>D</w:t>
              </w:r>
            </w:hyperlink>
            <w:hyperlink w:anchor="ex42descriptionofsecurities.htm">
              <w:r>
                <w:rPr>
                  <w:rStyle w:val="InternetLink"/>
                  <w:rFonts w:ascii="Times New Roman;serif" w:hAnsi="Times New Roman;serif"/>
                  <w:b w:val="false"/>
                  <w:color w:val="000080"/>
                  <w:sz w:val="16"/>
                  <w:u w:val="single"/>
                  <w:shd w:fill="FFFFFF" w:val="clear"/>
                </w:rPr>
                <w:t>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3formofindenture.htm">
              <w:r>
                <w:rPr>
                  <w:rStyle w:val="InternetLink"/>
                  <w:rFonts w:ascii="Times New Roman;serif" w:hAnsi="Times New Roman;serif"/>
                  <w:b w:val="false"/>
                  <w:color w:val="0000FF"/>
                  <w:sz w:val="16"/>
                  <w:u w:val="single"/>
                  <w:shd w:fill="FFFFFF" w:val="clear"/>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Form of Debt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Common Stock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Preferred Stock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Debt Securities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Unit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akerhostetle.htm">
              <w:r>
                <w:rPr>
                  <w:rStyle w:val="InternetLink"/>
                  <w:rFonts w:ascii="Times New Roman;serif" w:hAnsi="Times New Roman;serif"/>
                  <w:b w:val="false"/>
                  <w:color w:val="0000FF"/>
                  <w:sz w:val="16"/>
                  <w:u w:val="single"/>
                </w:rPr>
                <w:t>Opinion of Baker &amp; Hostetler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ofernstyoungllp.htm">
              <w:r>
                <w:rPr>
                  <w:rStyle w:val="InternetLink"/>
                  <w:rFonts w:ascii="Times New Roman;serif" w:hAnsi="Times New Roman;serif"/>
                  <w:b w:val="false"/>
                  <w:color w:val="0000FF"/>
                  <w:sz w:val="16"/>
                  <w:u w:val="single"/>
                </w:rPr>
                <w:t>Consent of Ernst &amp; Young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consentofgrantthornto.htm">
              <w:r>
                <w:rPr>
                  <w:rStyle w:val="InternetLink"/>
                  <w:rFonts w:ascii="Times New Roman;serif" w:hAnsi="Times New Roman;serif"/>
                  <w:b w:val="false"/>
                  <w:color w:val="0000FF"/>
                  <w:sz w:val="16"/>
                  <w:u w:val="single"/>
                </w:rPr>
                <w:t>Consent of Grant Thornton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akerhostetle.htm">
              <w:r>
                <w:rPr>
                  <w:rStyle w:val="InternetLink"/>
                  <w:rFonts w:ascii="Times New Roman;serif" w:hAnsi="Times New Roman;serif"/>
                  <w:b w:val="false"/>
                  <w:color w:val="0000FF"/>
                  <w:sz w:val="16"/>
                  <w:u w:val="single"/>
                  <w:shd w:fill="FFFFFF" w:val="clear"/>
                </w:rPr>
                <w:t>Consent of Baker &amp; Hostetler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7029345980479b9a45efdf5cbdaec6_70">
              <w:r>
                <w:rPr>
                  <w:rStyle w:val="InternetLink"/>
                  <w:rFonts w:ascii="Times New Roman;serif" w:hAnsi="Times New Roman;serif"/>
                  <w:b w:val="false"/>
                  <w:color w:val="0000FF"/>
                  <w:sz w:val="16"/>
                  <w:u w:val="single"/>
                </w:rPr>
                <w:t>Power of Attorney (included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Statement of Eligibility of Trustee under the Indenture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16"/>
                  <w:u w:val="single"/>
                </w:rPr>
                <w:t xml:space="preserve">Filing Fee Table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To be filed by amendment or as an exhibit to a report filed under the Exchange Act and incorporated herein by reference, if applicable.</w:t>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^To be filed, if applicable, in accordance with the requirements of Section 305(b)(2) of the Trust Indenture Act and the applicable rules thereunder.</w:t>
      </w:r>
    </w:p>
    <w:p>
      <w:pPr>
        <w:pStyle w:val="TextBody"/>
        <w:bidi w:val="0"/>
        <w:spacing w:before="0" w:after="0"/>
        <w:jc w:val="center"/>
        <w:rPr/>
      </w:pPr>
      <w:r>
        <w:rPr/>
      </w:r>
    </w:p>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Item 17. Undertakings.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undersigned registrant hereby undertakes: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To file, during any period in which offers or sales are being made, a post-effective amendment to this registration statement: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(i) To include any prospectus required by Section 10(a)(3) of the Securities Act of 1933, as amended;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6"/>
        </w:rPr>
        <w:t>provided, however</w:t>
      </w:r>
      <w:r>
        <w:rPr>
          <w:rFonts w:ascii="Times New Roman;serif" w:hAnsi="Times New Roman;serif"/>
          <w:b w:val="false"/>
          <w:color w:val="000000"/>
          <w:sz w:val="16"/>
        </w:rPr>
        <w:t xml:space="preserve">, that paragraphs (a)(l)(i), (a)(l)(ii) and (a)(l)(iii)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uto" w:line="417"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16"/>
        </w:rPr>
        <w:t xml:space="preserve">(b)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16"/>
        </w:rPr>
        <w:t xml:space="preserve">bona fide </w:t>
      </w:r>
      <w:r>
        <w:rPr>
          <w:rFonts w:ascii="Times New Roman;serif" w:hAnsi="Times New Roman;serif"/>
          <w:b w:val="false"/>
          <w:color w:val="000000"/>
          <w:sz w:val="16"/>
        </w:rPr>
        <w:t xml:space="preserve">offering thereof;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 To remove from registration by means of a post-effective amendment any of the securities being registered which remain unsold at the termination of the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(d) That, for the purpose of determining liability under the Securities Act of 1933 to any purchaser: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(ii) 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16"/>
        </w:rPr>
        <w:t>bona fide</w:t>
      </w:r>
      <w:r>
        <w:rPr>
          <w:color w:val="000000"/>
        </w:rPr>
        <w:t xml:space="preserve"> </w:t>
      </w:r>
      <w:r>
        <w:rPr>
          <w:rFonts w:ascii="Times New Roman;serif" w:hAnsi="Times New Roman;serif"/>
          <w:b w:val="false"/>
          <w:color w:val="000000"/>
          <w:sz w:val="16"/>
        </w:rPr>
        <w:t xml:space="preserve">offering thereof; </w:t>
      </w:r>
      <w:r>
        <w:rPr>
          <w:rFonts w:ascii="Times New Roman;serif" w:hAnsi="Times New Roman;serif"/>
          <w:b w:val="false"/>
          <w:i/>
          <w:color w:val="000000"/>
          <w:sz w:val="16"/>
        </w:rPr>
        <w:t>provided, however,</w:t>
      </w:r>
      <w:r>
        <w:rPr>
          <w:color w:val="000000"/>
        </w:rPr>
        <w:t xml:space="preserve"> </w:t>
      </w:r>
      <w:r>
        <w:rPr>
          <w:rFonts w:ascii="Times New Roman;serif" w:hAnsi="Times New Roman;serif"/>
          <w:b w:val="false"/>
          <w:color w:val="000000"/>
          <w:sz w:val="16"/>
        </w:rPr>
        <w:t xml:space="preserve">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 Any preliminary prospectus or prospectus of the undersigned registrant relating to the offering required to be filed pursuant to Rule 424;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(ii) Any free writing prospectus relating to the offering prepared by or on behalf of the undersigned registrant or used or referred to by the undersigned registrant;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(iv) Any other communication that is an offer in the offering made by the undersigned registrant to the purchaser;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(f)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16"/>
        </w:rPr>
        <w:t>bona fide</w:t>
      </w:r>
      <w:r>
        <w:rPr>
          <w:color w:val="000000"/>
        </w:rPr>
        <w:t xml:space="preserve"> </w:t>
      </w:r>
      <w:r>
        <w:rPr>
          <w:rFonts w:ascii="Times New Roman;serif" w:hAnsi="Times New Roman;serif"/>
          <w:b w:val="false"/>
          <w:color w:val="000000"/>
          <w:sz w:val="16"/>
        </w:rPr>
        <w:t>offering thereof;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(g)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(h)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16"/>
        </w:rPr>
        <w:t>Pursuant to the requirements of the Securities Act of 1933, the registrant certifies that it has reasonable grounds to believe that it meets all of the requirements for filing on Form S-3 and has du</w:t>
      </w:r>
      <w:r>
        <w:rPr>
          <w:rFonts w:ascii="Times New Roman;serif" w:hAnsi="Times New Roman;serif"/>
          <w:b w:val="false"/>
          <w:color w:val="000000"/>
          <w:sz w:val="16"/>
          <w:shd w:fill="FFFFFF" w:val="clear"/>
        </w:rPr>
        <w:t>ly caused this registration statement to be signed on its behalf by the undersigned, thereunto duly authorized, in the City of Broomfield, State of Colorado, on August 21, 2026.</w:t>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NOODLES &amp;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By: /s/ 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Chief Executive Officer</w:t>
            </w:r>
          </w:p>
        </w:tc>
      </w:tr>
    </w:tbl>
    <w:p>
      <w:pPr>
        <w:pStyle w:val="TextBody"/>
        <w:bidi w:val="0"/>
        <w:spacing w:before="120" w:after="283"/>
        <w:ind w:left="0" w:right="0" w:hanging="5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POWER OF ATTORNEY</w:t>
      </w:r>
    </w:p>
    <w:p>
      <w:pPr>
        <w:pStyle w:val="TextBody"/>
        <w:bidi w:val="0"/>
        <w:spacing w:before="240" w:after="283"/>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16"/>
        </w:rPr>
        <w:t>KNOW ALL PERSONS BY THESE PRESENTS, that each person whose signature appears below hereby constitutes and ap</w:t>
      </w:r>
      <w:r>
        <w:rPr>
          <w:rFonts w:ascii="Times New Roman;serif" w:hAnsi="Times New Roman;serif"/>
          <w:b w:val="false"/>
          <w:color w:val="000000"/>
          <w:sz w:val="16"/>
          <w:shd w:fill="FFFFFF" w:val="clear"/>
        </w:rPr>
        <w:t>points Mike Hynes and Kathy Lockhart, and eac</w:t>
      </w:r>
      <w:r>
        <w:rPr>
          <w:rFonts w:ascii="Times New Roman;serif" w:hAnsi="Times New Roman;serif"/>
          <w:b w:val="false"/>
          <w:color w:val="000000"/>
          <w:sz w:val="16"/>
        </w:rPr>
        <w:t xml:space="preserve">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Pursuant to the requirements of the Securities Act of 1933, this registration statement has been signed below by the following persons in the capacities and on the dates indicated.</w:t>
      </w:r>
    </w:p>
    <w:tbl>
      <w:tblPr>
        <w:tblW w:w="5625" w:type="dxa"/>
        <w:jc w:val="left"/>
        <w:tblInd w:w="0" w:type="dxa"/>
        <w:tblLayout w:type="fixed"/>
        <w:tblCellMar>
          <w:top w:w="28" w:type="dxa"/>
          <w:left w:w="28" w:type="dxa"/>
          <w:bottom w:w="28" w:type="dxa"/>
          <w:right w:w="28" w:type="dxa"/>
        </w:tblCellMar>
      </w:tblPr>
      <w:tblGrid>
        <w:gridCol w:w="667"/>
        <w:gridCol w:w="587"/>
        <w:gridCol w:w="591"/>
        <w:gridCol w:w="816"/>
        <w:gridCol w:w="816"/>
        <w:gridCol w:w="828"/>
        <w:gridCol w:w="384"/>
        <w:gridCol w:w="384"/>
        <w:gridCol w:w="5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 JOSEPH CHRISTINA</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Joseph Christina</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Director, Chief Executive Officer </w:t>
            </w:r>
          </w:p>
          <w:p>
            <w:pPr>
              <w:pStyle w:val="TableContents"/>
              <w:bidi w:val="0"/>
              <w:spacing w:lineRule="auto" w:line="288" w:before="0" w:after="0"/>
              <w:jc w:val="center"/>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(principal executive officer)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MIKE HYNES</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Mike Hynes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Chief Financial Officer</w:t>
            </w:r>
          </w:p>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(principal financial officer)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KATHY LOCKHART</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Kathy Lockhart</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Chief Accounting Officer</w:t>
            </w:r>
          </w:p>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(principal accounting officer)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JEFFREY JONES</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Jeffrey Jones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Chairman</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THOMAS LYNCH</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Thomas Lynch</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DREW MADSEN</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Drew Madsen</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BRITAIN PEAKES</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Britain Peakes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ELISA SCHREIBER</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Elisa Schreiber</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SHAWN TAYLOR</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Shawn Taylor</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August 21,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DESCRIPTION OF THE REGISTRANT’S SECURITIES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REGISTERED PURSUANT TO SECTION 12 OF THE</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the date of the Registration Statement of which this exhibit is a part, Noodles &amp; Company (the “Company”) has one class of security registered under Section 12 of the Securities Exchange Act of 1934, as amended (the “Exchange Act”): Class A common stock, par value $0.01 per share (“Class A common stock”).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Description of Class A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The following is a summary of our Class A common stock and provisions of our Amended and Restated Certificate of Incorporation, as amended (our “Certificate of Incorporation”), our Second Amended and Restated Bylaws (our “Bylaws”) and certain provisions of Delaware law. This summary does not purport to be complete and is qualified in its entirety by the provisions of our Certificate of Incorporation and Bylaws, copies of which are incorporated by reference as exhibits into the Registration Statement, of which this exhibit forms a part. We encourage you to read our Certificate of Incorporation, our Bylaws, and the applicable provisions of General Corporation Law of the State of Delaware for additional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Voting Rights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Pursuant to our Certificate of Incorporation, holders of our Class A common stock will be entitled to one vote on all matters submitted to a vote of stockholders; provided, however, that, except as otherwise required by law, holders of Class A common stock, as such, are not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Holders of Class A common stock are not entitled to cumulative voting in the election of directors. This means that the holders of a majority of our Class A common stock are able to elect all of the directors then standing for election.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Classification of Board of Directors</w:t>
      </w:r>
      <w:r>
        <w:rPr>
          <w:rFonts w:ascii="Times New Roman;serif" w:hAnsi="Times New Roman;serif"/>
          <w:b w:val="false"/>
          <w:color w:val="000000"/>
          <w:sz w:val="22"/>
        </w:rPr>
        <w:t>. Our board of directors is divided into three classes, each serving staggered three-year terms. As a result, only a portion of our board of directors is elected each year.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Dividends</w:t>
      </w:r>
      <w:r>
        <w:rPr>
          <w:rFonts w:ascii="Times New Roman;serif" w:hAnsi="Times New Roman;serif"/>
          <w:b w:val="false"/>
          <w:color w:val="000000"/>
          <w:sz w:val="22"/>
        </w:rPr>
        <w:t xml:space="preserve">. Subject to the rights, if any, of the holders of any outstanding series of preferred stock, holders of our Class A common stock will be entitled to receive dividends out of any of our funds legally available when, as and if declared by the board of directors.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Preemptive Rights; Conversion Rights; Subscription Rights</w:t>
      </w:r>
      <w:r>
        <w:rPr>
          <w:rFonts w:ascii="Times New Roman;serif" w:hAnsi="Times New Roman;serif"/>
          <w:b w:val="false"/>
          <w:color w:val="000000"/>
          <w:sz w:val="22"/>
        </w:rPr>
        <w:t>. Holders of Class A common stock do not have preemptive or other subscription rights. Shares of our Class A common stock are convertible on a share-for-share basis into shares of our Class B common stock at the election of the holder.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Redemption Rights; Sinking Fund Provisions</w:t>
      </w:r>
      <w:r>
        <w:rPr>
          <w:rFonts w:ascii="Times New Roman;serif" w:hAnsi="Times New Roman;serif"/>
          <w:b w:val="false"/>
          <w:color w:val="000000"/>
          <w:sz w:val="22"/>
        </w:rPr>
        <w:t>. There are no redemption or sinking fund provisions applicable to our Class A common stock.</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color w:val="000000"/>
          <w:sz w:val="22"/>
        </w:rPr>
        <w:t>Other Rights</w:t>
      </w:r>
      <w:r>
        <w:rPr>
          <w:rFonts w:ascii="Times New Roman;serif" w:hAnsi="Times New Roman;serif"/>
          <w:b w:val="false"/>
          <w:color w:val="000000"/>
          <w:sz w:val="22"/>
        </w:rPr>
        <w:t>. Upon the dissolution, liquidation or winding up of the company, subject to the rights, if any, of the holders of our preferred stock, the holders of our common stock shall be entitled to receive the assets of the company available for distribution to its stockholders ratably in proportion to the number of shares held by them. The outstanding shares of our common stock are fully paid and nonassessable.</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Anti-Takeover Effects of Delaware Law, Our Certificate of Incorporation and Our Bylaws</w:t>
      </w:r>
      <w:r>
        <w:rPr>
          <w:rFonts w:ascii="Times New Roman;serif" w:hAnsi="Times New Roman;serif"/>
          <w:b w:val="false"/>
          <w:color w:val="000000"/>
          <w:sz w:val="22"/>
        </w:rPr>
        <w:t>. Certain provisions of Delaware law and our Certificate of Incorporation and Second Amended and Restated Bylaws could make an acquisition of us more difficult. These provisions of the General Corporation Law of the State of Delaware (the “DGCL”) could prohibit or delay mergers or other takeover or change in control attempts and, accordingly, may discourage attempts to acquire us. These provisions, summarized below, are expected to discourage certain types of coercive takeover practices and inadequate takeover bids and are designed to encourage persons seeking to acquire control of us to negotiate with our board of directors.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Stockholder meetings</w:t>
      </w:r>
      <w:r>
        <w:rPr>
          <w:rFonts w:ascii="Times New Roman;serif" w:hAnsi="Times New Roman;serif"/>
          <w:b w:val="false"/>
          <w:color w:val="000000"/>
          <w:sz w:val="22"/>
        </w:rPr>
        <w:t>. Under our Certificate of Incorporation, only the board of directors, or the chairman of the board of directors or the Chief Executive Officer with the concurrence of a majority of the board of directors may call special meetings of stockholders.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Requirements for advance notification of stockholder nominations and proposals</w:t>
      </w:r>
      <w:r>
        <w:rPr>
          <w:rFonts w:ascii="Times New Roman;serif" w:hAnsi="Times New Roman;serif"/>
          <w:b w:val="false"/>
          <w:color w:val="000000"/>
          <w:sz w:val="22"/>
        </w:rPr>
        <w:t>. Our Bylaws establish advance notice procedures with respect to stockholder proposals and the nomination of candidates for election as directors.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Elimination of stockholder action by written consent</w:t>
      </w:r>
      <w:r>
        <w:rPr>
          <w:rFonts w:ascii="Times New Roman;serif" w:hAnsi="Times New Roman;serif"/>
          <w:b w:val="false"/>
          <w:color w:val="000000"/>
          <w:sz w:val="22"/>
        </w:rPr>
        <w:t xml:space="preserve">. Our Certificate of Incorporation eliminates the right of stockholders to act by written consent without a meeting. This provision will, in certain situations make it more difficult for stockholders to take action opposed by the board of directors.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Election and removal of directors</w:t>
      </w:r>
      <w:r>
        <w:rPr>
          <w:rFonts w:ascii="Times New Roman;serif" w:hAnsi="Times New Roman;serif"/>
          <w:b w:val="false"/>
          <w:color w:val="000000"/>
          <w:sz w:val="22"/>
        </w:rPr>
        <w:t>. Our board of directors is divided into three classes, each serving staggered three-year terms. As a result, only a portion of our board of directors is elected each year. The board of directors has the exclusive right to increase or decrease the size of the board and to fill vacancies on the board. This system of electing directors may discourage a third party from making a tender offer or otherwise attempting to obtain control of us, because it generally makes replacing a majority of directors more difficult for stockholders. Additionally, directors may be removed for cause only with the approval of the holders of a majority of the aggregate voting power of our outstanding Class A common stock and any series of preferred stock entitled to vote generally in the election of directors. Directors may be removed without cause only with the approval of two-thirds of the aggregate voting power of our outstanding Class A common stock and any series of preferred stock entitled to vote generally in the election of directors.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Undesignated preferred stock</w:t>
      </w:r>
      <w:r>
        <w:rPr>
          <w:rFonts w:ascii="Times New Roman;serif" w:hAnsi="Times New Roman;serif"/>
          <w:b w:val="false"/>
          <w:color w:val="000000"/>
          <w:sz w:val="22"/>
        </w:rPr>
        <w:t>. The authorization of undesignated preferred stock makes it possible for our board of directors, without stockholder approval, to issue preferred stock with voting or other rights or preferences that could impede the success of any attempt to obtain control of us. These and other provisions may have the effect of deterring hostile takeovers or delaying changes in control or management of the company.</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i/>
          <w:color w:val="000000"/>
          <w:sz w:val="22"/>
        </w:rPr>
        <w:t>Amendment of provisions in the certificate of incorporation</w:t>
      </w:r>
      <w:r>
        <w:rPr>
          <w:rFonts w:ascii="Times New Roman;serif" w:hAnsi="Times New Roman;serif"/>
          <w:b w:val="false"/>
          <w:color w:val="000000"/>
          <w:sz w:val="22"/>
        </w:rPr>
        <w:t xml:space="preserve">. Our Certificate of Incorporation requires the affirmative vote of the holders of at least two-thirds of the aggregate voting power of our outstanding Class A common stock and any series of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preferred stock entitled to vote generally in the election of directors in order to amend any provision of our certificate of incorporation.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2"/>
        </w:rPr>
        <w:t>Amendment of provisions in the bylaws</w:t>
      </w:r>
      <w:r>
        <w:rPr>
          <w:rFonts w:ascii="Times New Roman;serif" w:hAnsi="Times New Roman;serif"/>
          <w:b w:val="false"/>
          <w:color w:val="000000"/>
          <w:sz w:val="22"/>
        </w:rPr>
        <w:t>. Our Bylaws require the affirmative vote of the holders of at least two-thirds of the aggregate voting power of our outstanding Class A common stock and any series of preferred stock entitled to vote generally in the election of directors in order to amend any provision of our bylaws.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Delaware Anti-Takeover Statute</w:t>
      </w:r>
      <w:r>
        <w:rPr>
          <w:rFonts w:ascii="Times New Roman;serif" w:hAnsi="Times New Roman;serif"/>
          <w:b w:val="false"/>
          <w:color w:val="000000"/>
          <w:sz w:val="22"/>
        </w:rPr>
        <w:t xml:space="preserve">. We are not governed by Section 203 of the DGCL.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Transfer Agent and Registrar</w:t>
      </w:r>
      <w:r>
        <w:rPr>
          <w:rFonts w:ascii="Times New Roman;serif" w:hAnsi="Times New Roman;serif"/>
          <w:b w:val="false"/>
          <w:color w:val="000000"/>
          <w:sz w:val="22"/>
        </w:rPr>
        <w:t>. Equiniti Trust Company is the transfer agent and registrar for our common stock.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Listing</w:t>
      </w:r>
      <w:r>
        <w:rPr>
          <w:rFonts w:ascii="Times New Roman;serif" w:hAnsi="Times New Roman;serif"/>
          <w:b w:val="false"/>
          <w:color w:val="000000"/>
          <w:sz w:val="22"/>
        </w:rPr>
        <w:t>. Our Class A common stock is listed on the Nasdaq Global Select Market under the symbol “NDLS”.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4.3</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NOODLES &amp; COMPANY,</w:t>
      </w:r>
    </w:p>
    <w:p>
      <w:pPr>
        <w:pStyle w:val="TextBody"/>
        <w:bidi w:val="0"/>
        <w:spacing w:lineRule="auto" w:line="288" w:before="0" w:after="0"/>
        <w:jc w:val="center"/>
        <w:rPr/>
      </w:pPr>
      <w:r>
        <w:rPr>
          <w:rFonts w:ascii="Times New Roman;serif" w:hAnsi="Times New Roman;serif"/>
          <w:b/>
          <w:color w:val="000000"/>
          <w:sz w:val="24"/>
        </w:rPr>
        <w:t>Iss</w:t>
      </w:r>
      <w:r>
        <w:rPr>
          <w:rFonts w:ascii="Times New Roman;serif" w:hAnsi="Times New Roman;serif"/>
          <w:b w:val="false"/>
          <w:color w:val="000000"/>
          <w:sz w:val="24"/>
        </w:rPr>
        <w:t>u</w:t>
      </w:r>
      <w:r>
        <w:rPr>
          <w:rFonts w:ascii="Times New Roman;serif" w:hAnsi="Times New Roman;serif"/>
          <w:b/>
          <w:color w:val="000000"/>
          <w:sz w:val="24"/>
        </w:rPr>
        <w: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Dated as of [], 20__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59"/>
        <w:gridCol w:w="259"/>
        <w:gridCol w:w="259"/>
        <w:gridCol w:w="259"/>
        <w:gridCol w:w="259"/>
        <w:gridCol w:w="259"/>
        <w:gridCol w:w="259"/>
        <w:gridCol w:w="259"/>
        <w:gridCol w:w="259"/>
        <w:gridCol w:w="728"/>
        <w:gridCol w:w="514"/>
        <w:gridCol w:w="514"/>
        <w:gridCol w:w="514"/>
        <w:gridCol w:w="514"/>
        <w:gridCol w:w="514"/>
        <w:gridCol w:w="514"/>
        <w:gridCol w:w="514"/>
        <w:gridCol w:w="532"/>
        <w:gridCol w:w="109"/>
        <w:gridCol w:w="109"/>
        <w:gridCol w:w="109"/>
        <w:gridCol w:w="109"/>
        <w:gridCol w:w="109"/>
        <w:gridCol w:w="109"/>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w:t>
            </w:r>
          </w:p>
        </w:tc>
        <w:tc>
          <w:tcPr>
            <w:tcW w:w="71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 of Terms.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34">
              <w:r>
                <w:rPr>
                  <w:rStyle w:val="InternetLink"/>
                  <w:rFonts w:ascii="Times New Roman;serif" w:hAnsi="Times New Roman;serif"/>
                  <w:b w:val="false"/>
                  <w:color w:val="000000"/>
                  <w:sz w:val="24"/>
                  <w:u w:val="single"/>
                </w:rPr>
                <w:t>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2</w:t>
            </w:r>
          </w:p>
        </w:tc>
        <w:tc>
          <w:tcPr>
            <w:tcW w:w="71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ISSUE, DESCRIPTION, TERMS, EXECUTION, REGISTRATION AND EXCHANGE OF SECURITIES</w:t>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Designation and Terms of Securities.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48">
              <w:r>
                <w:rPr>
                  <w:rStyle w:val="InternetLink"/>
                  <w:rFonts w:ascii="Times New Roman;serif" w:hAnsi="Times New Roman;serif"/>
                  <w:b w:val="false"/>
                  <w:color w:val="000000"/>
                  <w:sz w:val="24"/>
                  <w:u w:val="single"/>
                </w:rPr>
                <w:t>4</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Securities and Trustee’s Certificate.</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02">
              <w:r>
                <w:rPr>
                  <w:rStyle w:val="InternetLink"/>
                  <w:rFonts w:ascii="Times New Roman;serif" w:hAnsi="Times New Roman;serif"/>
                  <w:b w:val="false"/>
                  <w:color w:val="000000"/>
                  <w:sz w:val="24"/>
                  <w:u w:val="single"/>
                </w:rPr>
                <w:t>7</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Denominations: Provisions for Payment.</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16">
              <w:r>
                <w:rPr>
                  <w:rStyle w:val="InternetLink"/>
                  <w:rFonts w:ascii="Times New Roman;serif" w:hAnsi="Times New Roman;serif"/>
                  <w:b w:val="false"/>
                  <w:color w:val="000000"/>
                  <w:sz w:val="24"/>
                  <w:u w:val="single"/>
                </w:rPr>
                <w:t>7</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and Authentications.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30">
              <w:r>
                <w:rPr>
                  <w:rStyle w:val="InternetLink"/>
                  <w:rFonts w:ascii="Times New Roman;serif" w:hAnsi="Times New Roman;serif"/>
                  <w:b w:val="false"/>
                  <w:color w:val="000000"/>
                  <w:sz w:val="24"/>
                  <w:u w:val="single"/>
                </w:rPr>
                <w:t>8</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Registration of Transfer and Exchange.</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44">
              <w:r>
                <w:rPr>
                  <w:rStyle w:val="InternetLink"/>
                  <w:rFonts w:ascii="Times New Roman;serif" w:hAnsi="Times New Roman;serif"/>
                  <w:b w:val="false"/>
                  <w:color w:val="000000"/>
                  <w:sz w:val="24"/>
                  <w:u w:val="single"/>
                </w:rPr>
                <w:t>9</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Temporary Securities.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58">
              <w:r>
                <w:rPr>
                  <w:rStyle w:val="InternetLink"/>
                  <w:rFonts w:ascii="Times New Roman;serif" w:hAnsi="Times New Roman;serif"/>
                  <w:b w:val="false"/>
                  <w:color w:val="000000"/>
                  <w:sz w:val="24"/>
                  <w:u w:val="single"/>
                </w:rPr>
                <w:t>10</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Mutilated, Destroyed, Lost or Stolen Securities.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72">
              <w:r>
                <w:rPr>
                  <w:rStyle w:val="InternetLink"/>
                  <w:rFonts w:ascii="Times New Roman;serif" w:hAnsi="Times New Roman;serif"/>
                  <w:b w:val="false"/>
                  <w:color w:val="000000"/>
                  <w:sz w:val="24"/>
                  <w:u w:val="single"/>
                </w:rPr>
                <w:t>11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2.08</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Cancellation.</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186">
              <w:r>
                <w:rPr>
                  <w:rStyle w:val="InternetLink"/>
                  <w:rFonts w:ascii="Times New Roman;serif" w:hAnsi="Times New Roman;serif"/>
                  <w:b w:val="false"/>
                  <w:color w:val="000000"/>
                  <w:sz w:val="24"/>
                  <w:u w:val="single"/>
                </w:rPr>
                <w:t>11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2.09</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Benefits of Indenture.</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200">
              <w:r>
                <w:rPr>
                  <w:rStyle w:val="InternetLink"/>
                  <w:rFonts w:ascii="Times New Roman;serif" w:hAnsi="Times New Roman;serif"/>
                  <w:b w:val="false"/>
                  <w:color w:val="000000"/>
                  <w:sz w:val="24"/>
                  <w:u w:val="single"/>
                </w:rPr>
                <w:t>12</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Authenticating Agent.</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214">
              <w:r>
                <w:rPr>
                  <w:rStyle w:val="InternetLink"/>
                  <w:rFonts w:ascii="Times New Roman;serif" w:hAnsi="Times New Roman;serif"/>
                  <w:b w:val="false"/>
                  <w:color w:val="000000"/>
                  <w:sz w:val="24"/>
                  <w:u w:val="single"/>
                </w:rPr>
                <w:t>12</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Global Securities.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228">
              <w:r>
                <w:rPr>
                  <w:rStyle w:val="InternetLink"/>
                  <w:rFonts w:ascii="Times New Roman;serif" w:hAnsi="Times New Roman;serif"/>
                  <w:b w:val="false"/>
                  <w:color w:val="000000"/>
                  <w:sz w:val="24"/>
                  <w:u w:val="single"/>
                </w:rPr>
                <w:t>12</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2.12</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CUSIP Numbers.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242">
              <w:r>
                <w:rPr>
                  <w:rStyle w:val="InternetLink"/>
                  <w:rFonts w:ascii="Times New Roman;serif" w:hAnsi="Times New Roman;serif"/>
                  <w:b w:val="false"/>
                  <w:color w:val="000000"/>
                  <w:sz w:val="24"/>
                  <w:u w:val="single"/>
                </w:rPr>
                <w:t>13</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3</w:t>
            </w:r>
          </w:p>
        </w:tc>
        <w:tc>
          <w:tcPr>
            <w:tcW w:w="71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OF SECURITIES AND SINKING FUND PROVISIONS</w:t>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62">
              <w:r>
                <w:rPr>
                  <w:rStyle w:val="InternetLink"/>
                  <w:rFonts w:ascii="Times New Roman;serif" w:hAnsi="Times New Roman;serif"/>
                  <w:b w:val="false"/>
                  <w:color w:val="000000"/>
                  <w:sz w:val="24"/>
                  <w:u w:val="single"/>
                </w:rPr>
                <w:t>14</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3.02</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Redemption.</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76">
              <w:r>
                <w:rPr>
                  <w:rStyle w:val="InternetLink"/>
                  <w:rFonts w:ascii="Times New Roman;serif" w:hAnsi="Times New Roman;serif"/>
                  <w:b w:val="false"/>
                  <w:color w:val="000000"/>
                  <w:sz w:val="24"/>
                  <w:u w:val="single"/>
                </w:rPr>
                <w:t>14</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3.03</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 Upon Redemption.</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90">
              <w:r>
                <w:rPr>
                  <w:rStyle w:val="InternetLink"/>
                  <w:rFonts w:ascii="Times New Roman;serif" w:hAnsi="Times New Roman;serif"/>
                  <w:b w:val="false"/>
                  <w:color w:val="000000"/>
                  <w:sz w:val="24"/>
                  <w:u w:val="single"/>
                </w:rPr>
                <w:t>15</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3.04</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Sinking Fund.</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04">
              <w:r>
                <w:rPr>
                  <w:rStyle w:val="InternetLink"/>
                  <w:rFonts w:ascii="Times New Roman;serif" w:hAnsi="Times New Roman;serif"/>
                  <w:b w:val="false"/>
                  <w:color w:val="000000"/>
                  <w:sz w:val="24"/>
                  <w:u w:val="single"/>
                </w:rPr>
                <w:t>15</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3.05</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Satisfaction of Sinking Fund Payments with Securities.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18">
              <w:r>
                <w:rPr>
                  <w:rStyle w:val="InternetLink"/>
                  <w:rFonts w:ascii="Times New Roman;serif" w:hAnsi="Times New Roman;serif"/>
                  <w:b w:val="false"/>
                  <w:color w:val="000000"/>
                  <w:sz w:val="24"/>
                  <w:u w:val="single"/>
                </w:rPr>
                <w:t>15</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3.06</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of Securities for Sinking Fund.</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32">
              <w:r>
                <w:rPr>
                  <w:rStyle w:val="InternetLink"/>
                  <w:rFonts w:ascii="Times New Roman;serif" w:hAnsi="Times New Roman;serif"/>
                  <w:b w:val="false"/>
                  <w:color w:val="000000"/>
                  <w:sz w:val="24"/>
                  <w:u w:val="single"/>
                </w:rPr>
                <w:t>16</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4</w:t>
            </w:r>
          </w:p>
        </w:tc>
        <w:tc>
          <w:tcPr>
            <w:tcW w:w="71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COVENANTS</w:t>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 of Principal, Premium and Interest.</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46">
              <w:r>
                <w:rPr>
                  <w:rStyle w:val="InternetLink"/>
                  <w:rFonts w:ascii="Times New Roman;serif" w:hAnsi="Times New Roman;serif"/>
                  <w:b w:val="false"/>
                  <w:color w:val="000000"/>
                  <w:sz w:val="24"/>
                  <w:u w:val="single"/>
                </w:rPr>
                <w:t>16</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4.02</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of Office or Agency.</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60">
              <w:r>
                <w:rPr>
                  <w:rStyle w:val="InternetLink"/>
                  <w:rFonts w:ascii="Times New Roman;serif" w:hAnsi="Times New Roman;serif"/>
                  <w:b w:val="false"/>
                  <w:color w:val="000000"/>
                  <w:sz w:val="24"/>
                  <w:u w:val="single"/>
                </w:rPr>
                <w:t>16</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4.03</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Paying Agents.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74">
              <w:r>
                <w:rPr>
                  <w:rStyle w:val="InternetLink"/>
                  <w:rFonts w:ascii="Times New Roman;serif" w:hAnsi="Times New Roman;serif"/>
                  <w:b w:val="false"/>
                  <w:color w:val="000000"/>
                  <w:sz w:val="24"/>
                  <w:u w:val="single"/>
                </w:rPr>
                <w:t>17</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4.04</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Appointment to Fill Vacancy in Office of Trustee.</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288">
              <w:r>
                <w:rPr>
                  <w:rStyle w:val="InternetLink"/>
                  <w:rFonts w:ascii="Times New Roman;serif" w:hAnsi="Times New Roman;serif"/>
                  <w:b w:val="false"/>
                  <w:color w:val="000000"/>
                  <w:sz w:val="24"/>
                  <w:u w:val="single"/>
                </w:rPr>
                <w:t>18</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5</w:t>
            </w:r>
          </w:p>
        </w:tc>
        <w:tc>
          <w:tcPr>
            <w:tcW w:w="71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SECURITYHOLDERS’ LISTS AND REPORTS BY THE COMPANY AND THE TRUSTEE</w:t>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5.01</w:t>
            </w:r>
          </w:p>
        </w:tc>
        <w:tc>
          <w:tcPr>
            <w:tcW w:w="48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 to Furnish Trustee Names and Addresses of Securityholders.</w:t>
            </w:r>
          </w:p>
        </w:tc>
        <w:tc>
          <w:tcPr>
            <w:tcW w:w="1039"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02">
              <w:r>
                <w:rPr>
                  <w:rStyle w:val="InternetLink"/>
                  <w:rFonts w:ascii="Times New Roman;serif" w:hAnsi="Times New Roman;serif"/>
                  <w:b w:val="false"/>
                  <w:color w:val="000000"/>
                  <w:sz w:val="24"/>
                  <w:u w:val="single"/>
                </w:rPr>
                <w:t>18</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4"/>
        <w:gridCol w:w="189"/>
        <w:gridCol w:w="189"/>
        <w:gridCol w:w="239"/>
        <w:gridCol w:w="239"/>
        <w:gridCol w:w="240"/>
        <w:gridCol w:w="265"/>
        <w:gridCol w:w="265"/>
        <w:gridCol w:w="268"/>
        <w:gridCol w:w="2560"/>
        <w:gridCol w:w="2541"/>
        <w:gridCol w:w="2547"/>
        <w:gridCol w:w="128"/>
        <w:gridCol w:w="128"/>
        <w:gridCol w:w="193"/>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5.02</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Preservation Of Information; Communications With Securityholders.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16">
              <w:r>
                <w:rPr>
                  <w:rStyle w:val="InternetLink"/>
                  <w:rFonts w:ascii="Times New Roman;serif" w:hAnsi="Times New Roman;serif"/>
                  <w:b w:val="false"/>
                  <w:color w:val="000000"/>
                  <w:sz w:val="24"/>
                  <w:u w:val="single"/>
                </w:rPr>
                <w:t>18</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5.03</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Reports by the Company.</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30">
              <w:r>
                <w:rPr>
                  <w:rStyle w:val="InternetLink"/>
                  <w:rFonts w:ascii="Times New Roman;serif" w:hAnsi="Times New Roman;serif"/>
                  <w:b w:val="false"/>
                  <w:color w:val="000000"/>
                  <w:sz w:val="24"/>
                  <w:u w:val="single"/>
                </w:rPr>
                <w:t>18</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5.04</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Reports by the Trustee.</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44">
              <w:r>
                <w:rPr>
                  <w:rStyle w:val="InternetLink"/>
                  <w:rFonts w:ascii="Times New Roman;serif" w:hAnsi="Times New Roman;serif"/>
                  <w:b w:val="false"/>
                  <w:color w:val="000000"/>
                  <w:sz w:val="24"/>
                  <w:u w:val="single"/>
                </w:rPr>
                <w:t>19</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6</w:t>
            </w:r>
          </w:p>
        </w:tc>
        <w:tc>
          <w:tcPr>
            <w:tcW w:w="84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 OF THE TRUSTEE AND SECURITYHOLDERS ON EVENT OF DEFAULT</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6.01</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58">
              <w:r>
                <w:rPr>
                  <w:rStyle w:val="InternetLink"/>
                  <w:rFonts w:ascii="Times New Roman;serif" w:hAnsi="Times New Roman;serif"/>
                  <w:b w:val="false"/>
                  <w:color w:val="000000"/>
                  <w:sz w:val="24"/>
                  <w:u w:val="single"/>
                </w:rPr>
                <w:t>19</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6.02</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Collection of Indebtedness and Suits for Enforcement by Trustee.</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72">
              <w:r>
                <w:rPr>
                  <w:rStyle w:val="InternetLink"/>
                  <w:rFonts w:ascii="Times New Roman;serif" w:hAnsi="Times New Roman;serif"/>
                  <w:b w:val="false"/>
                  <w:color w:val="000000"/>
                  <w:sz w:val="24"/>
                  <w:u w:val="single"/>
                </w:rPr>
                <w:t>21</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6.03</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Application of Moneys Collected.</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386">
              <w:r>
                <w:rPr>
                  <w:rStyle w:val="InternetLink"/>
                  <w:rFonts w:ascii="Times New Roman;serif" w:hAnsi="Times New Roman;serif"/>
                  <w:b w:val="false"/>
                  <w:color w:val="000000"/>
                  <w:sz w:val="24"/>
                  <w:u w:val="single"/>
                </w:rPr>
                <w:t>22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6.04</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on Suits.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00">
              <w:r>
                <w:rPr>
                  <w:rStyle w:val="InternetLink"/>
                  <w:rFonts w:ascii="Times New Roman;serif" w:hAnsi="Times New Roman;serif"/>
                  <w:b w:val="false"/>
                  <w:color w:val="000000"/>
                  <w:sz w:val="24"/>
                  <w:u w:val="single"/>
                </w:rPr>
                <w:t>22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6.05</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and Remedies Cumulative; Delay or Omission Not Waiver.</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14">
              <w:r>
                <w:rPr>
                  <w:rStyle w:val="InternetLink"/>
                  <w:rFonts w:ascii="Times New Roman;serif" w:hAnsi="Times New Roman;serif"/>
                  <w:b w:val="false"/>
                  <w:color w:val="000000"/>
                  <w:sz w:val="24"/>
                  <w:u w:val="single"/>
                </w:rPr>
                <w:t>23</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6.06</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Control by Securityholders.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28">
              <w:r>
                <w:rPr>
                  <w:rStyle w:val="InternetLink"/>
                  <w:rFonts w:ascii="Times New Roman;serif" w:hAnsi="Times New Roman;serif"/>
                  <w:b w:val="false"/>
                  <w:color w:val="000000"/>
                  <w:sz w:val="24"/>
                  <w:u w:val="single"/>
                </w:rPr>
                <w:t>23</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6.07</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Undertaking to Pay Costs.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42">
              <w:r>
                <w:rPr>
                  <w:rStyle w:val="InternetLink"/>
                  <w:rFonts w:ascii="Times New Roman;serif" w:hAnsi="Times New Roman;serif"/>
                  <w:b w:val="false"/>
                  <w:color w:val="000000"/>
                  <w:sz w:val="24"/>
                  <w:u w:val="single"/>
                </w:rPr>
                <w:t>24</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7</w:t>
            </w:r>
          </w:p>
        </w:tc>
        <w:tc>
          <w:tcPr>
            <w:tcW w:w="84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CONCERNING THE TRUSTEE</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7.01</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Duties and Responsibilities of Trustee.</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56">
              <w:r>
                <w:rPr>
                  <w:rStyle w:val="InternetLink"/>
                  <w:rFonts w:ascii="Times New Roman;serif" w:hAnsi="Times New Roman;serif"/>
                  <w:b w:val="false"/>
                  <w:color w:val="000000"/>
                  <w:sz w:val="24"/>
                  <w:u w:val="single"/>
                </w:rPr>
                <w:t>24</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7.02</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Rights of Trustee.</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70">
              <w:r>
                <w:rPr>
                  <w:rStyle w:val="InternetLink"/>
                  <w:rFonts w:ascii="Times New Roman;serif" w:hAnsi="Times New Roman;serif"/>
                  <w:b w:val="false"/>
                  <w:color w:val="000000"/>
                  <w:sz w:val="24"/>
                  <w:u w:val="single"/>
                </w:rPr>
                <w:t>25</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7.03</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 Not Responsible for Recitals or Issuance or Securities.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84">
              <w:r>
                <w:rPr>
                  <w:rStyle w:val="InternetLink"/>
                  <w:rFonts w:ascii="Times New Roman;serif" w:hAnsi="Times New Roman;serif"/>
                  <w:b w:val="false"/>
                  <w:color w:val="000000"/>
                  <w:sz w:val="24"/>
                  <w:u w:val="single"/>
                </w:rPr>
                <w:t>27</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7.04</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 Hold Securities.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498">
              <w:r>
                <w:rPr>
                  <w:rStyle w:val="InternetLink"/>
                  <w:rFonts w:ascii="Times New Roman;serif" w:hAnsi="Times New Roman;serif"/>
                  <w:b w:val="false"/>
                  <w:color w:val="000000"/>
                  <w:sz w:val="24"/>
                  <w:u w:val="single"/>
                </w:rPr>
                <w:t>27</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7.05</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Moneys Held in Trust.</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12">
              <w:r>
                <w:rPr>
                  <w:rStyle w:val="InternetLink"/>
                  <w:rFonts w:ascii="Times New Roman;serif" w:hAnsi="Times New Roman;serif"/>
                  <w:b w:val="false"/>
                  <w:color w:val="000000"/>
                  <w:sz w:val="24"/>
                  <w:u w:val="single"/>
                </w:rPr>
                <w:t>28</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7.06</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and Reimbursement.</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26">
              <w:r>
                <w:rPr>
                  <w:rStyle w:val="InternetLink"/>
                  <w:rFonts w:ascii="Times New Roman;serif" w:hAnsi="Times New Roman;serif"/>
                  <w:b w:val="false"/>
                  <w:color w:val="000000"/>
                  <w:sz w:val="24"/>
                  <w:u w:val="single"/>
                </w:rPr>
                <w:t>28</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7.07</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Reliance on Officer’s Certificate.</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40">
              <w:r>
                <w:rPr>
                  <w:rStyle w:val="InternetLink"/>
                  <w:rFonts w:ascii="Times New Roman;serif" w:hAnsi="Times New Roman;serif"/>
                  <w:b w:val="false"/>
                  <w:color w:val="000000"/>
                  <w:sz w:val="24"/>
                  <w:u w:val="single"/>
                </w:rPr>
                <w:t>28</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7.08</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Disqualification; Conflicting Interests.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54">
              <w:r>
                <w:rPr>
                  <w:rStyle w:val="InternetLink"/>
                  <w:rFonts w:ascii="Times New Roman;serif" w:hAnsi="Times New Roman;serif"/>
                  <w:b w:val="false"/>
                  <w:color w:val="000000"/>
                  <w:sz w:val="24"/>
                  <w:u w:val="single"/>
                </w:rPr>
                <w:t>29</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7.09</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Corporate Trustee Required; Eligibility.</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68">
              <w:r>
                <w:rPr>
                  <w:rStyle w:val="InternetLink"/>
                  <w:rFonts w:ascii="Times New Roman;serif" w:hAnsi="Times New Roman;serif"/>
                  <w:b w:val="false"/>
                  <w:color w:val="000000"/>
                  <w:sz w:val="24"/>
                  <w:u w:val="single"/>
                </w:rPr>
                <w:t>29</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7.10</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Resignation and Removal; Appointment of Successor.</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82">
              <w:r>
                <w:rPr>
                  <w:rStyle w:val="InternetLink"/>
                  <w:rFonts w:ascii="Times New Roman;serif" w:hAnsi="Times New Roman;serif"/>
                  <w:b w:val="false"/>
                  <w:color w:val="000000"/>
                  <w:sz w:val="24"/>
                  <w:u w:val="single"/>
                </w:rPr>
                <w:t>29</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7.11</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 of Appointment By Successor.</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596">
              <w:r>
                <w:rPr>
                  <w:rStyle w:val="InternetLink"/>
                  <w:rFonts w:ascii="Times New Roman;serif" w:hAnsi="Times New Roman;serif"/>
                  <w:b w:val="false"/>
                  <w:color w:val="000000"/>
                  <w:sz w:val="24"/>
                  <w:u w:val="single"/>
                </w:rPr>
                <w:t>30</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7.12</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Merger, Conversion, Consolidation or Succession to Business.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10">
              <w:r>
                <w:rPr>
                  <w:rStyle w:val="InternetLink"/>
                  <w:rFonts w:ascii="Times New Roman;serif" w:hAnsi="Times New Roman;serif"/>
                  <w:b w:val="false"/>
                  <w:color w:val="000000"/>
                  <w:sz w:val="24"/>
                  <w:u w:val="single"/>
                </w:rPr>
                <w:t>31</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7.13</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Preferential Collection of Claims Against the Company.</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24">
              <w:r>
                <w:rPr>
                  <w:rStyle w:val="InternetLink"/>
                  <w:rFonts w:ascii="Times New Roman;serif" w:hAnsi="Times New Roman;serif"/>
                  <w:b w:val="false"/>
                  <w:color w:val="000000"/>
                  <w:sz w:val="24"/>
                  <w:u w:val="single"/>
                </w:rPr>
                <w:t>32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7.14</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Default.</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38">
              <w:r>
                <w:rPr>
                  <w:rStyle w:val="InternetLink"/>
                  <w:rFonts w:ascii="Times New Roman;serif" w:hAnsi="Times New Roman;serif"/>
                  <w:b w:val="false"/>
                  <w:color w:val="000000"/>
                  <w:sz w:val="24"/>
                  <w:u w:val="single"/>
                </w:rPr>
                <w:t>32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8</w:t>
            </w:r>
          </w:p>
        </w:tc>
        <w:tc>
          <w:tcPr>
            <w:tcW w:w="84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CONCERNING THE SECURITYHOLDERS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8.01</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Evidence of Action by Securityholders.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52">
              <w:r>
                <w:rPr>
                  <w:rStyle w:val="InternetLink"/>
                  <w:rFonts w:ascii="Times New Roman;serif" w:hAnsi="Times New Roman;serif"/>
                  <w:b w:val="false"/>
                  <w:color w:val="000000"/>
                  <w:sz w:val="24"/>
                  <w:u w:val="single"/>
                </w:rPr>
                <w:t>32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8.02</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Proof of Execution by Securityholders.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66">
              <w:r>
                <w:rPr>
                  <w:rStyle w:val="InternetLink"/>
                  <w:rFonts w:ascii="Times New Roman;serif" w:hAnsi="Times New Roman;serif"/>
                  <w:b w:val="false"/>
                  <w:color w:val="000000"/>
                  <w:sz w:val="24"/>
                  <w:u w:val="single"/>
                </w:rPr>
                <w:t>32</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8.03</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Who May be Deemed Owners.</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80">
              <w:r>
                <w:rPr>
                  <w:rStyle w:val="InternetLink"/>
                  <w:rFonts w:ascii="Times New Roman;serif" w:hAnsi="Times New Roman;serif"/>
                  <w:b w:val="false"/>
                  <w:color w:val="000000"/>
                  <w:sz w:val="24"/>
                  <w:u w:val="single"/>
                </w:rPr>
                <w:t>33</w:t>
              </w:r>
            </w:hyperlink>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8.04</w:t>
            </w:r>
          </w:p>
        </w:tc>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Securities Owned by Company Disregarded.</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694">
              <w:r>
                <w:rPr>
                  <w:rStyle w:val="InternetLink"/>
                  <w:rFonts w:ascii="Times New Roman;serif" w:hAnsi="Times New Roman;serif"/>
                  <w:b w:val="false"/>
                  <w:color w:val="000000"/>
                  <w:sz w:val="24"/>
                  <w:u w:val="single"/>
                </w:rPr>
                <w:t>33</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249" w:type="dxa"/>
        <w:jc w:val="left"/>
        <w:tblInd w:w="0" w:type="dxa"/>
        <w:tblLayout w:type="fixed"/>
        <w:tblCellMar>
          <w:top w:w="28" w:type="dxa"/>
          <w:left w:w="28" w:type="dxa"/>
          <w:bottom w:w="28" w:type="dxa"/>
          <w:right w:w="28" w:type="dxa"/>
        </w:tblCellMar>
      </w:tblPr>
      <w:tblGrid>
        <w:gridCol w:w="124"/>
        <w:gridCol w:w="109"/>
        <w:gridCol w:w="109"/>
        <w:gridCol w:w="214"/>
        <w:gridCol w:w="214"/>
        <w:gridCol w:w="214"/>
        <w:gridCol w:w="214"/>
        <w:gridCol w:w="214"/>
        <w:gridCol w:w="216"/>
        <w:gridCol w:w="1409"/>
        <w:gridCol w:w="1409"/>
        <w:gridCol w:w="141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8.05</w:t>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Actions Binding on Future Securityholders.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08">
              <w:r>
                <w:rPr>
                  <w:rStyle w:val="InternetLink"/>
                  <w:rFonts w:ascii="Times New Roman;serif" w:hAnsi="Times New Roman;serif"/>
                  <w:b w:val="false"/>
                  <w:color w:val="000000"/>
                  <w:sz w:val="24"/>
                  <w:u w:val="single"/>
                </w:rPr>
                <w:t>33</w:t>
              </w:r>
            </w:hyperlink>
          </w:p>
        </w:tc>
      </w:tr>
    </w:tbl>
    <w:tbl>
      <w:tblPr>
        <w:tblW w:w="10205" w:type="dxa"/>
        <w:jc w:val="left"/>
        <w:tblInd w:w="0" w:type="dxa"/>
        <w:tblLayout w:type="fixed"/>
        <w:tblCellMar>
          <w:top w:w="28" w:type="dxa"/>
          <w:left w:w="28" w:type="dxa"/>
          <w:bottom w:w="28" w:type="dxa"/>
          <w:right w:w="28" w:type="dxa"/>
        </w:tblCellMar>
      </w:tblPr>
      <w:tblGrid>
        <w:gridCol w:w="128"/>
        <w:gridCol w:w="112"/>
        <w:gridCol w:w="112"/>
        <w:gridCol w:w="112"/>
        <w:gridCol w:w="112"/>
        <w:gridCol w:w="112"/>
        <w:gridCol w:w="112"/>
        <w:gridCol w:w="112"/>
        <w:gridCol w:w="112"/>
        <w:gridCol w:w="112"/>
        <w:gridCol w:w="112"/>
        <w:gridCol w:w="112"/>
        <w:gridCol w:w="112"/>
        <w:gridCol w:w="112"/>
        <w:gridCol w:w="112"/>
        <w:gridCol w:w="112"/>
        <w:gridCol w:w="112"/>
        <w:gridCol w:w="112"/>
        <w:gridCol w:w="185"/>
        <w:gridCol w:w="185"/>
        <w:gridCol w:w="185"/>
        <w:gridCol w:w="185"/>
        <w:gridCol w:w="185"/>
        <w:gridCol w:w="185"/>
        <w:gridCol w:w="185"/>
        <w:gridCol w:w="185"/>
        <w:gridCol w:w="185"/>
        <w:gridCol w:w="603"/>
        <w:gridCol w:w="603"/>
        <w:gridCol w:w="603"/>
        <w:gridCol w:w="603"/>
        <w:gridCol w:w="603"/>
        <w:gridCol w:w="603"/>
        <w:gridCol w:w="603"/>
        <w:gridCol w:w="584"/>
        <w:gridCol w:w="650"/>
        <w:gridCol w:w="109"/>
        <w:gridCol w:w="109"/>
        <w:gridCol w:w="109"/>
        <w:gridCol w:w="109"/>
        <w:gridCol w:w="109"/>
        <w:gridCol w:w="109"/>
        <w:gridCol w:w="109"/>
        <w:gridCol w:w="109"/>
        <w:gridCol w:w="181"/>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9</w:t>
            </w:r>
          </w:p>
        </w:tc>
        <w:tc>
          <w:tcPr>
            <w:tcW w:w="712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SUPPLEMENTAL INDENTURES</w:t>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Supplemental Indentures Without the Consent of Securityholders.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22">
              <w:r>
                <w:rPr>
                  <w:rStyle w:val="InternetLink"/>
                  <w:rFonts w:ascii="Times New Roman;serif" w:hAnsi="Times New Roman;serif"/>
                  <w:b w:val="false"/>
                  <w:color w:val="000000"/>
                  <w:sz w:val="24"/>
                  <w:u w:val="single"/>
                </w:rPr>
                <w:t>34</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9.02</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Supplemental Indentures With Consent of Securityholders.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36">
              <w:r>
                <w:rPr>
                  <w:rStyle w:val="InternetLink"/>
                  <w:rFonts w:ascii="Times New Roman;serif" w:hAnsi="Times New Roman;serif"/>
                  <w:b w:val="false"/>
                  <w:color w:val="000000"/>
                  <w:sz w:val="24"/>
                  <w:u w:val="single"/>
                </w:rPr>
                <w:t>35</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9.03</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 of Supplemental Indentures.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50">
              <w:r>
                <w:rPr>
                  <w:rStyle w:val="InternetLink"/>
                  <w:rFonts w:ascii="Times New Roman;serif" w:hAnsi="Times New Roman;serif"/>
                  <w:b w:val="false"/>
                  <w:color w:val="000000"/>
                  <w:sz w:val="24"/>
                  <w:u w:val="single"/>
                </w:rPr>
                <w:t>35</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9.04</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 Affected by Supplemental Indentures.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64">
              <w:r>
                <w:rPr>
                  <w:rStyle w:val="InternetLink"/>
                  <w:rFonts w:ascii="Times New Roman;serif" w:hAnsi="Times New Roman;serif"/>
                  <w:b w:val="false"/>
                  <w:color w:val="000000"/>
                  <w:sz w:val="24"/>
                  <w:u w:val="single"/>
                </w:rPr>
                <w:t>35</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9.05</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of Supplemental Indentures.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778">
              <w:r>
                <w:rPr>
                  <w:rStyle w:val="InternetLink"/>
                  <w:rFonts w:ascii="Times New Roman;serif" w:hAnsi="Times New Roman;serif"/>
                  <w:b w:val="false"/>
                  <w:color w:val="000000"/>
                  <w:sz w:val="24"/>
                  <w:u w:val="single"/>
                </w:rPr>
                <w:t>35</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36"/>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10 SUCCESSOR ENTITY</w:t>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 May Consolidate, Etc.</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21">
              <w:r>
                <w:rPr>
                  <w:rStyle w:val="InternetLink"/>
                  <w:rFonts w:ascii="Times New Roman;serif" w:hAnsi="Times New Roman;serif"/>
                  <w:b w:val="false"/>
                  <w:color w:val="000000"/>
                  <w:sz w:val="24"/>
                  <w:u w:val="single"/>
                </w:rPr>
                <w:t>37</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10.02</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 Entity Substituted.</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06">
              <w:r>
                <w:rPr>
                  <w:rStyle w:val="InternetLink"/>
                  <w:rFonts w:ascii="Arial;sans-serif" w:hAnsi="Arial;sans-serif"/>
                  <w:b w:val="false"/>
                  <w:color w:val="000000"/>
                  <w:sz w:val="20"/>
                  <w:u w:val="single"/>
                </w:rPr>
                <w:t>36</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36"/>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11 SATISFACTION AND DISCHARGE</w:t>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Satisfaction and Discharge of Indenture.</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21">
              <w:r>
                <w:rPr>
                  <w:rStyle w:val="InternetLink"/>
                  <w:rFonts w:ascii="Times New Roman;serif" w:hAnsi="Times New Roman;serif"/>
                  <w:b w:val="false"/>
                  <w:color w:val="000000"/>
                  <w:sz w:val="24"/>
                  <w:u w:val="single"/>
                </w:rPr>
                <w:t>37</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11.02</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Discharge of Obligations.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36">
              <w:r>
                <w:rPr>
                  <w:rStyle w:val="InternetLink"/>
                  <w:rFonts w:ascii="Times New Roman;serif" w:hAnsi="Times New Roman;serif"/>
                  <w:b w:val="false"/>
                  <w:color w:val="000000"/>
                  <w:sz w:val="24"/>
                  <w:u w:val="single"/>
                </w:rPr>
                <w:t>37</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11.03</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Deposited Moneys to be Held in Trust.</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50">
              <w:r>
                <w:rPr>
                  <w:rStyle w:val="InternetLink"/>
                  <w:rFonts w:ascii="Times New Roman;serif" w:hAnsi="Times New Roman;serif"/>
                  <w:b w:val="false"/>
                  <w:color w:val="000000"/>
                  <w:sz w:val="24"/>
                  <w:u w:val="single"/>
                </w:rPr>
                <w:t>38</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11.04</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 of Moneys Held by Paying Agents.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64">
              <w:r>
                <w:rPr>
                  <w:rStyle w:val="InternetLink"/>
                  <w:rFonts w:ascii="Times New Roman;serif" w:hAnsi="Times New Roman;serif"/>
                  <w:b w:val="false"/>
                  <w:color w:val="000000"/>
                  <w:sz w:val="24"/>
                  <w:u w:val="single"/>
                </w:rPr>
                <w:t>38</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11.05</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Repayment to Company.</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78">
              <w:r>
                <w:rPr>
                  <w:rStyle w:val="InternetLink"/>
                  <w:rFonts w:ascii="Times New Roman;serif" w:hAnsi="Times New Roman;serif"/>
                  <w:b w:val="false"/>
                  <w:color w:val="000000"/>
                  <w:sz w:val="24"/>
                  <w:u w:val="single"/>
                </w:rPr>
                <w:t>38</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36"/>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12 IMMUNITY OF INCORPORATORS, STOCKHOLDERS, OFFICERS AND DIRECTORS</w:t>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Recourse.</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892">
              <w:r>
                <w:rPr>
                  <w:rStyle w:val="InternetLink"/>
                  <w:rFonts w:ascii="Times New Roman;serif" w:hAnsi="Times New Roman;serif"/>
                  <w:b w:val="false"/>
                  <w:color w:val="000000"/>
                  <w:sz w:val="24"/>
                  <w:u w:val="single"/>
                </w:rPr>
                <w:t>38</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36"/>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13 MISCELLANEOUS PROVISIONS</w:t>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 on Successors and Assigns.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06">
              <w:r>
                <w:rPr>
                  <w:rStyle w:val="InternetLink"/>
                  <w:rFonts w:ascii="Times New Roman;serif" w:hAnsi="Times New Roman;serif"/>
                  <w:b w:val="false"/>
                  <w:color w:val="000000"/>
                  <w:sz w:val="24"/>
                  <w:u w:val="single"/>
                </w:rPr>
                <w:t>39</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13.02</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Actions by Successor.</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20">
              <w:r>
                <w:rPr>
                  <w:rStyle w:val="InternetLink"/>
                  <w:rFonts w:ascii="Times New Roman;serif" w:hAnsi="Times New Roman;serif"/>
                  <w:b w:val="false"/>
                  <w:color w:val="000000"/>
                  <w:sz w:val="24"/>
                  <w:u w:val="single"/>
                </w:rPr>
                <w:t>39</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13.03</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Surrender of Company Powers.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34">
              <w:r>
                <w:rPr>
                  <w:rStyle w:val="InternetLink"/>
                  <w:rFonts w:ascii="Times New Roman;serif" w:hAnsi="Times New Roman;serif"/>
                  <w:b w:val="false"/>
                  <w:color w:val="000000"/>
                  <w:sz w:val="24"/>
                  <w:u w:val="single"/>
                </w:rPr>
                <w:t>39</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13.04</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48">
              <w:r>
                <w:rPr>
                  <w:rStyle w:val="InternetLink"/>
                  <w:rFonts w:ascii="Times New Roman;serif" w:hAnsi="Times New Roman;serif"/>
                  <w:b w:val="false"/>
                  <w:color w:val="000000"/>
                  <w:sz w:val="24"/>
                  <w:u w:val="single"/>
                </w:rPr>
                <w:t>39</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13.05</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 Jury Trial Waiver.</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62">
              <w:r>
                <w:rPr>
                  <w:rStyle w:val="InternetLink"/>
                  <w:rFonts w:ascii="Times New Roman;serif" w:hAnsi="Times New Roman;serif"/>
                  <w:b w:val="false"/>
                  <w:color w:val="000000"/>
                  <w:sz w:val="24"/>
                  <w:u w:val="single"/>
                </w:rPr>
                <w:t>40</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13.06</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Treatment of Securities as Debt.</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76">
              <w:r>
                <w:rPr>
                  <w:rStyle w:val="InternetLink"/>
                  <w:rFonts w:ascii="Times New Roman;serif" w:hAnsi="Times New Roman;serif"/>
                  <w:b w:val="false"/>
                  <w:color w:val="000000"/>
                  <w:sz w:val="24"/>
                  <w:u w:val="single"/>
                </w:rPr>
                <w:t>40</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13.07</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Certificates and Opinions as to Conditions Precedent.</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990">
              <w:r>
                <w:rPr>
                  <w:rStyle w:val="InternetLink"/>
                  <w:rFonts w:ascii="Times New Roman;serif" w:hAnsi="Times New Roman;serif"/>
                  <w:b w:val="false"/>
                  <w:color w:val="000000"/>
                  <w:sz w:val="24"/>
                  <w:u w:val="single"/>
                </w:rPr>
                <w:t>40</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13.08</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Payments on Business Days.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04">
              <w:r>
                <w:rPr>
                  <w:rStyle w:val="InternetLink"/>
                  <w:rFonts w:ascii="Times New Roman;serif" w:hAnsi="Times New Roman;serif"/>
                  <w:b w:val="false"/>
                  <w:color w:val="000000"/>
                  <w:sz w:val="24"/>
                  <w:u w:val="single"/>
                </w:rPr>
                <w:t>40</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13.09</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Conflict with Trust Indenture Act.</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18">
              <w:r>
                <w:rPr>
                  <w:rStyle w:val="InternetLink"/>
                  <w:rFonts w:ascii="Times New Roman;serif" w:hAnsi="Times New Roman;serif"/>
                  <w:b w:val="false"/>
                  <w:color w:val="000000"/>
                  <w:sz w:val="24"/>
                  <w:u w:val="single"/>
                </w:rPr>
                <w:t>40</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13.10</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32">
              <w:r>
                <w:rPr>
                  <w:rStyle w:val="InternetLink"/>
                  <w:rFonts w:ascii="Times New Roman;serif" w:hAnsi="Times New Roman;serif"/>
                  <w:b w:val="false"/>
                  <w:color w:val="000000"/>
                  <w:sz w:val="24"/>
                  <w:u w:val="single"/>
                </w:rPr>
                <w:t>41</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13.11</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Separability.</w:t>
            </w:r>
          </w:p>
        </w:tc>
        <w:tc>
          <w:tcPr>
            <w:tcW w:w="1053"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46">
              <w:r>
                <w:rPr>
                  <w:rStyle w:val="InternetLink"/>
                  <w:rFonts w:ascii="Times New Roman;serif" w:hAnsi="Times New Roman;serif"/>
                  <w:b w:val="false"/>
                  <w:color w:val="000000"/>
                  <w:sz w:val="24"/>
                  <w:u w:val="single"/>
                </w:rPr>
                <w:t>41</w:t>
              </w:r>
            </w:hyperlink>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328"/>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13.12</w:t>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Certificates.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60">
              <w:r>
                <w:rPr>
                  <w:rStyle w:val="InternetLink"/>
                  <w:rFonts w:ascii="Times New Roman;serif" w:hAnsi="Times New Roman;serif"/>
                  <w:b w:val="false"/>
                  <w:color w:val="000000"/>
                  <w:sz w:val="24"/>
                  <w:u w:val="single"/>
                </w:rPr>
                <w:t>41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13.13</w:t>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U.S.A Patriot Act.</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74">
              <w:r>
                <w:rPr>
                  <w:rStyle w:val="InternetLink"/>
                  <w:rFonts w:ascii="Times New Roman;serif" w:hAnsi="Times New Roman;serif"/>
                  <w:b w:val="false"/>
                  <w:color w:val="000000"/>
                  <w:sz w:val="24"/>
                  <w:u w:val="single"/>
                </w:rPr>
                <w:t>41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13.14</w:t>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Table of Contents; Headings.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right"/>
              <w:rPr/>
            </w:pPr>
            <w:hyperlink w:anchor="i8e6dd2a0d1dd47999ca3486c300fb1d6_1088">
              <w:r>
                <w:rPr>
                  <w:rStyle w:val="InternetLink"/>
                  <w:rFonts w:ascii="Times New Roman;serif" w:hAnsi="Times New Roman;serif"/>
                  <w:b w:val="false"/>
                  <w:color w:val="000000"/>
                  <w:sz w:val="24"/>
                  <w:u w:val="single"/>
                </w:rPr>
                <w:t>41</w:t>
              </w:r>
            </w:hyperlink>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INDENTURE</w:t>
      </w:r>
      <w:r>
        <w:rPr>
          <w:rFonts w:ascii="Times New Roman;serif" w:hAnsi="Times New Roman;serif"/>
          <w:b w:val="false"/>
          <w:color w:val="000000"/>
          <w:sz w:val="24"/>
        </w:rPr>
        <w:t xml:space="preserve">, dated as of [], 20__, among </w:t>
      </w:r>
      <w:r>
        <w:rPr>
          <w:rFonts w:ascii="Times New Roman;serif" w:hAnsi="Times New Roman;serif"/>
          <w:b/>
          <w:color w:val="000000"/>
          <w:sz w:val="24"/>
        </w:rPr>
        <w:t>NOODLES &amp; COMPANY</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a Delaware corporation (the “Company”), and [</w:t>
      </w:r>
      <w:r>
        <w:rPr>
          <w:rFonts w:ascii="Times New Roman;serif" w:hAnsi="Times New Roman;serif"/>
          <w:b/>
          <w:color w:val="000000"/>
          <w:sz w:val="24"/>
        </w:rPr>
        <w:t>TRUSTEE</w:t>
      </w:r>
      <w:r>
        <w:rPr>
          <w:rFonts w:ascii="Times New Roman;serif" w:hAnsi="Times New Roman;serif"/>
          <w:b w:val="false"/>
          <w:color w:val="000000"/>
          <w:sz w:val="24"/>
        </w:rPr>
        <w:t xml:space="preserve">], as trustee (the “Trustee”):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to provide the terms and conditions upon which the Securities are to be authenticated, issued and delivered, the Company has duly authorized the execution of this Indenture;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all things necessary to make this Indenture a valid agreement of the Company, in accordance with its terms, have been done.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1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1.01 Definitions of Terms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Authenticating Agent</w:t>
      </w:r>
      <w:r>
        <w:rPr>
          <w:color w:val="000000"/>
        </w:rPr>
        <w:t xml:space="preserve">” </w:t>
      </w:r>
      <w:r>
        <w:rPr>
          <w:rFonts w:ascii="Times New Roman;serif" w:hAnsi="Times New Roman;serif"/>
          <w:b w:val="false"/>
          <w:color w:val="000000"/>
          <w:sz w:val="24"/>
        </w:rPr>
        <w:t>means the Trustee or an authenticating agent with respect to all or any of the series of Securities appointed by the Trustee pursuant to Section 2.10.</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Bankruptcy Law</w:t>
      </w:r>
      <w:r>
        <w:rPr>
          <w:color w:val="000000"/>
        </w:rPr>
        <w:t xml:space="preserve">” </w:t>
      </w:r>
      <w:r>
        <w:rPr>
          <w:rFonts w:ascii="Times New Roman;serif" w:hAnsi="Times New Roman;serif"/>
          <w:b w:val="false"/>
          <w:color w:val="000000"/>
          <w:sz w:val="24"/>
        </w:rPr>
        <w:t>means Title 11, U.S. Code, or any similar federal or state law for the relief of debtors.</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Board of Directors</w:t>
      </w:r>
      <w:r>
        <w:rPr>
          <w:color w:val="000000"/>
        </w:rPr>
        <w:t xml:space="preserve">” </w:t>
      </w:r>
      <w:r>
        <w:rPr>
          <w:rFonts w:ascii="Times New Roman;serif" w:hAnsi="Times New Roman;serif"/>
          <w:b w:val="false"/>
          <w:color w:val="000000"/>
          <w:sz w:val="24"/>
        </w:rPr>
        <w:t>means the Board of Directors (or the functional equivalent thereof) of the Company or any duly authorized committee of such Board.</w:t>
      </w:r>
    </w:p>
    <w:p>
      <w:pPr>
        <w:pStyle w:val="TextBody"/>
        <w:bidi w:val="0"/>
        <w:spacing w:lineRule="auto" w:line="288"/>
        <w:ind w:left="0" w:right="0" w:firstLine="720"/>
        <w:jc w:val="both"/>
        <w:rPr/>
      </w:pPr>
      <w:r>
        <w:rPr>
          <w:color w:val="000000"/>
        </w:rPr>
        <w:t>“</w:t>
      </w:r>
      <w:r>
        <w:rPr>
          <w:rFonts w:ascii="Times New Roman;serif" w:hAnsi="Times New Roman;serif"/>
          <w:b/>
          <w:i/>
          <w:color w:val="000000"/>
          <w:sz w:val="24"/>
        </w:rPr>
        <w:t>Board Resolution</w:t>
      </w:r>
      <w:r>
        <w:rPr>
          <w:color w:val="000000"/>
        </w:rPr>
        <w:t xml:space="preserve">” </w:t>
      </w:r>
      <w:r>
        <w:rPr>
          <w:rFonts w:ascii="Times New Roman;serif" w:hAnsi="Times New Roman;serif"/>
          <w:b w:val="false"/>
          <w:color w:val="000000"/>
          <w:sz w:val="24"/>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Noodles &amp; Company, a corporation duly organized and existing under the laws of the State of Delaware, and, subject to the provisions of Article Ten, shall also include its successors and assigns.</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Corporate Trust Office</w:t>
      </w:r>
      <w:r>
        <w:rPr>
          <w:color w:val="000000"/>
        </w:rPr>
        <w:t xml:space="preserve">” </w:t>
      </w:r>
      <w:r>
        <w:rPr>
          <w:rFonts w:ascii="Times New Roman;serif" w:hAnsi="Times New Roman;serif"/>
          <w:b w:val="false"/>
          <w:color w:val="000000"/>
          <w:sz w:val="24"/>
        </w:rPr>
        <w:t>means the office of the Trustee at which, at any particular time, its corporate trust business shall be principally administered, which office at the date hereof is located at _________________________________________________________________.</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Custodian</w:t>
      </w:r>
      <w:r>
        <w:rPr>
          <w:color w:val="000000"/>
        </w:rPr>
        <w:t xml:space="preserve">” </w:t>
      </w:r>
      <w:r>
        <w:rPr>
          <w:rFonts w:ascii="Times New Roman;serif" w:hAnsi="Times New Roman;serif"/>
          <w:b w:val="false"/>
          <w:color w:val="000000"/>
          <w:sz w:val="24"/>
        </w:rPr>
        <w:t>means any receiver, trustee, assignee, liquidator or similar official under any Bankruptcy Law.</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Defaulted Interest</w:t>
      </w:r>
      <w:r>
        <w:rPr>
          <w:color w:val="000000"/>
        </w:rPr>
        <w:t xml:space="preserve">” </w:t>
      </w:r>
      <w:r>
        <w:rPr>
          <w:rFonts w:ascii="Times New Roman;serif" w:hAnsi="Times New Roman;serif"/>
          <w:b w:val="false"/>
          <w:color w:val="000000"/>
          <w:sz w:val="24"/>
        </w:rPr>
        <w:t>has the meaning set forth in Section 2.03.</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Depositary</w:t>
      </w:r>
      <w:r>
        <w:rPr>
          <w:color w:val="000000"/>
        </w:rPr>
        <w:t xml:space="preserve">” </w:t>
      </w:r>
      <w:r>
        <w:rPr>
          <w:rFonts w:ascii="Times New Roman;serif" w:hAnsi="Times New Roman;serif"/>
          <w:b w:val="false"/>
          <w:color w:val="000000"/>
          <w:sz w:val="24"/>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means, with respect to Securities of a particular series, any event specified in Section 6.01, continued for the period of time, if any, therein designated.</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United States Securities and Exchange Act of 1934, as amended, and the rules and regulations promulgated by the Commission thereunder.</w:t>
      </w:r>
    </w:p>
    <w:p>
      <w:pPr>
        <w:pStyle w:val="TextBody"/>
        <w:bidi w:val="0"/>
        <w:spacing w:lineRule="auto" w:line="288" w:before="0" w:after="0"/>
        <w:ind w:left="0" w:right="0" w:firstLine="720"/>
        <w:jc w:val="both"/>
        <w:rPr/>
      </w:pPr>
      <w:r>
        <w:rPr>
          <w:rFonts w:ascii="Times New Roman;serif" w:hAnsi="Times New Roman;serif"/>
          <w:b w:val="false"/>
          <w:color w:val="000000"/>
          <w:sz w:val="24"/>
        </w:rPr>
        <w:t>The term “</w:t>
      </w:r>
      <w:r>
        <w:rPr>
          <w:rFonts w:ascii="Times New Roman;serif" w:hAnsi="Times New Roman;serif"/>
          <w:b/>
          <w:i/>
          <w:color w:val="000000"/>
          <w:sz w:val="24"/>
        </w:rPr>
        <w:t>given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mailed</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notify</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sent</w:t>
      </w:r>
      <w:r>
        <w:rPr>
          <w:color w:val="000000"/>
        </w:rPr>
        <w:t xml:space="preserve">” </w:t>
      </w:r>
      <w:r>
        <w:rPr>
          <w:rFonts w:ascii="Times New Roman;serif" w:hAnsi="Times New Roman;serif"/>
          <w:b w:val="false"/>
          <w:color w:val="000000"/>
          <w:sz w:val="24"/>
        </w:rPr>
        <w:t>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Global Security</w:t>
      </w:r>
      <w:r>
        <w:rPr>
          <w:color w:val="000000"/>
        </w:rPr>
        <w:t xml:space="preserve">” </w:t>
      </w:r>
      <w:r>
        <w:rPr>
          <w:rFonts w:ascii="Times New Roman;serif" w:hAnsi="Times New Roman;serif"/>
          <w:b w:val="false"/>
          <w:color w:val="000000"/>
          <w:sz w:val="24"/>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ind w:left="0" w:right="0" w:firstLine="720"/>
        <w:jc w:val="both"/>
        <w:rPr/>
      </w:pPr>
      <w:r>
        <w:rPr>
          <w:color w:val="000000"/>
        </w:rPr>
        <w:t>“</w:t>
      </w:r>
      <w:r>
        <w:rPr>
          <w:rFonts w:ascii="Times New Roman;serif" w:hAnsi="Times New Roman;serif"/>
          <w:b/>
          <w:i/>
          <w:color w:val="000000"/>
          <w:sz w:val="24"/>
        </w:rPr>
        <w:t>Governmental Obligations</w:t>
      </w:r>
      <w:r>
        <w:rPr>
          <w:color w:val="000000"/>
        </w:rPr>
        <w:t xml:space="preserve">” </w:t>
      </w:r>
      <w:r>
        <w:rPr>
          <w:rFonts w:ascii="Times New Roman;serif" w:hAnsi="Times New Roman;serif"/>
          <w:b w:val="false"/>
          <w:color w:val="000000"/>
          <w:sz w:val="24"/>
        </w:rPr>
        <w:t xml:space="preserve">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herein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hereof</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hereunder</w:t>
      </w:r>
      <w:r>
        <w:rPr>
          <w:color w:val="000000"/>
        </w:rPr>
        <w:t>”</w:t>
      </w:r>
      <w:r>
        <w:rPr>
          <w:rFonts w:ascii="Times New Roman;serif" w:hAnsi="Times New Roman;serif"/>
          <w:b w:val="false"/>
          <w:color w:val="000000"/>
          <w:sz w:val="24"/>
        </w:rPr>
        <w:t>, and other words of similar import, refer to this Indenture as a whole and not to any particular Article, Section or other subdivision.</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Indenture</w:t>
      </w:r>
      <w:r>
        <w:rPr>
          <w:color w:val="000000"/>
        </w:rPr>
        <w:t xml:space="preserve">” </w:t>
      </w:r>
      <w:r>
        <w:rPr>
          <w:rFonts w:ascii="Times New Roman;serif" w:hAnsi="Times New Roman;serif"/>
          <w:b w:val="false"/>
          <w:color w:val="000000"/>
          <w:sz w:val="24"/>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Interest Payment Date</w:t>
      </w:r>
      <w:r>
        <w:rPr>
          <w:color w:val="000000"/>
        </w:rPr>
        <w:t>”</w:t>
      </w:r>
      <w:r>
        <w:rPr>
          <w:rFonts w:ascii="Times New Roman;serif" w:hAnsi="Times New Roman;serif"/>
          <w:b w:val="false"/>
          <w:color w:val="000000"/>
          <w:sz w:val="24"/>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Officer’s Certificate</w:t>
      </w:r>
      <w:r>
        <w:rPr>
          <w:color w:val="000000"/>
        </w:rPr>
        <w:t xml:space="preserve">” </w:t>
      </w:r>
      <w:r>
        <w:rPr>
          <w:rFonts w:ascii="Times New Roman;serif" w:hAnsi="Times New Roman;serif"/>
          <w:b w:val="false"/>
          <w:color w:val="000000"/>
          <w:sz w:val="24"/>
        </w:rPr>
        <w:t>means a certificate signed by any Officer. Each such certificate shall include the statements provided for in Section 13.07, if and to the extent required by the provisions thereof.</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Opinion of Counsel</w:t>
      </w:r>
      <w:r>
        <w:rPr>
          <w:color w:val="000000"/>
        </w:rPr>
        <w:t xml:space="preserve">” </w:t>
      </w:r>
      <w:r>
        <w:rPr>
          <w:rFonts w:ascii="Times New Roman;serif" w:hAnsi="Times New Roman;serif"/>
          <w:b w:val="false"/>
          <w:color w:val="000000"/>
          <w:sz w:val="24"/>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Outstanding</w:t>
      </w:r>
      <w:r>
        <w:rPr>
          <w:color w:val="000000"/>
        </w:rPr>
        <w:t>”</w:t>
      </w:r>
      <w:r>
        <w:rPr>
          <w:rFonts w:ascii="Times New Roman;serif" w:hAnsi="Times New Roman;serif"/>
          <w:b w:val="false"/>
          <w:color w:val="000000"/>
          <w:sz w:val="24"/>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ind w:left="0" w:right="0" w:firstLine="72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 xml:space="preserve">means any individual, corporation, partnership, joint venture, joint-stock company, limited liability company, association, trust, unincorporated organization,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entity or organization, including a government or political subdivision or an agency or instrumentality thereof.</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Predecessor Security</w:t>
      </w:r>
      <w:r>
        <w:rPr>
          <w:color w:val="000000"/>
        </w:rPr>
        <w:t xml:space="preserve">” </w:t>
      </w:r>
      <w:r>
        <w:rPr>
          <w:rFonts w:ascii="Times New Roman;serif" w:hAnsi="Times New Roman;serif"/>
          <w:b w:val="false"/>
          <w:color w:val="000000"/>
          <w:sz w:val="24"/>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Responsible Officer</w:t>
      </w:r>
      <w:r>
        <w:rPr>
          <w:color w:val="000000"/>
        </w:rPr>
        <w:t xml:space="preserve">” </w:t>
      </w:r>
      <w:r>
        <w:rPr>
          <w:rFonts w:ascii="Times New Roman;serif" w:hAnsi="Times New Roman;serif"/>
          <w:b w:val="false"/>
          <w:color w:val="000000"/>
          <w:sz w:val="24"/>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Securities</w:t>
      </w:r>
      <w:r>
        <w:rPr>
          <w:color w:val="000000"/>
        </w:rPr>
        <w:t xml:space="preserve">” </w:t>
      </w:r>
      <w:r>
        <w:rPr>
          <w:rFonts w:ascii="Times New Roman;serif" w:hAnsi="Times New Roman;serif"/>
          <w:b w:val="false"/>
          <w:color w:val="000000"/>
          <w:sz w:val="24"/>
        </w:rPr>
        <w:t>has the meaning stated in the first recital of this Indenture and more particularly means any Securities authenticated and delivered under this Indenture.</w:t>
      </w:r>
    </w:p>
    <w:p>
      <w:pPr>
        <w:pStyle w:val="TextBody"/>
        <w:bidi w:val="0"/>
        <w:spacing w:lineRule="auto" w:line="288" w:before="0" w:after="0"/>
        <w:ind w:left="0" w:right="0" w:firstLine="720"/>
        <w:jc w:val="left"/>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Securityholder</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holder of Securities</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registered holder</w:t>
      </w:r>
      <w:r>
        <w:rPr>
          <w:color w:val="000000"/>
        </w:rPr>
        <w:t>”</w:t>
      </w:r>
      <w:r>
        <w:rPr>
          <w:rFonts w:ascii="Times New Roman;serif" w:hAnsi="Times New Roman;serif"/>
          <w:b w:val="false"/>
          <w:color w:val="000000"/>
          <w:sz w:val="24"/>
        </w:rPr>
        <w:t>, or other similar term, means the Person or Persons in whose name or names a particular Security is registered on the Security Register kept for that purpose in accordance with the terms of this Indenture.</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Security Register</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Security Registrar</w:t>
      </w:r>
      <w:r>
        <w:rPr>
          <w:color w:val="000000"/>
        </w:rPr>
        <w:t xml:space="preserve">” </w:t>
      </w:r>
      <w:r>
        <w:rPr>
          <w:rFonts w:ascii="Times New Roman;serif" w:hAnsi="Times New Roman;serif"/>
          <w:b w:val="false"/>
          <w:color w:val="000000"/>
          <w:sz w:val="24"/>
        </w:rPr>
        <w:t>shall have the meanings as set forth in Section 2.05.</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Trustee</w:t>
      </w:r>
      <w:r>
        <w:rPr>
          <w:color w:val="000000"/>
        </w:rPr>
        <w:t xml:space="preserve">” </w:t>
      </w:r>
      <w:r>
        <w:rPr>
          <w:rFonts w:ascii="Times New Roman;serif" w:hAnsi="Times New Roman;serif"/>
          <w:b w:val="false"/>
          <w:color w:val="000000"/>
          <w:sz w:val="24"/>
        </w:rPr>
        <w:t>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Trust Indenture Act</w:t>
      </w:r>
      <w:r>
        <w:rPr>
          <w:color w:val="000000"/>
        </w:rPr>
        <w:t xml:space="preserve">” </w:t>
      </w:r>
      <w:r>
        <w:rPr>
          <w:rFonts w:ascii="Times New Roman;serif" w:hAnsi="Times New Roman;serif"/>
          <w:b w:val="false"/>
          <w:color w:val="000000"/>
          <w:sz w:val="24"/>
        </w:rPr>
        <w:t>means the Trust Indenture Act of 1939, as amended.</w:t>
      </w:r>
    </w:p>
    <w:p>
      <w:pPr>
        <w:pStyle w:val="TextBody"/>
        <w:bidi w:val="0"/>
        <w:spacing w:lineRule="auto" w:line="288" w:before="0" w:after="0"/>
        <w:ind w:left="0" w:right="0" w:firstLine="720"/>
        <w:jc w:val="both"/>
        <w:rPr/>
      </w:pPr>
      <w:r>
        <w:rPr>
          <w:color w:val="000000"/>
        </w:rPr>
        <w:t>“</w:t>
      </w:r>
      <w:r>
        <w:rPr>
          <w:rFonts w:ascii="Times New Roman;serif" w:hAnsi="Times New Roman;serif"/>
          <w:b/>
          <w:i/>
          <w:color w:val="000000"/>
          <w:sz w:val="24"/>
        </w:rPr>
        <w:t>U.S.A. Patriot Act”</w:t>
      </w:r>
      <w:r>
        <w:rPr>
          <w:color w:val="000000"/>
        </w:rPr>
        <w:t xml:space="preserve"> </w:t>
      </w:r>
      <w:r>
        <w:rPr>
          <w:rFonts w:ascii="Times New Roman;serif" w:hAnsi="Times New Roman;serif"/>
          <w:b w:val="false"/>
          <w:color w:val="000000"/>
          <w:sz w:val="24"/>
        </w:rPr>
        <w:t xml:space="preserve">means the Uniting and Strengthening America by Providing Appropriate Tools Required to Intercept and Obstruct Terrorism Act of 2001, Pub. L. 107-56, as amended and signed into law October 26, 2001. </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ISSUE, DESCRIPTION, TERMS, EXECUTION, REGISTRATION AND EXCHANGE OF SECURITIES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color w:val="000000"/>
          <w:sz w:val="24"/>
        </w:rPr>
        <w:t>Section 2.01 Designation and Terms of Securities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 </w:t>
      </w:r>
      <w:r>
        <w:rPr>
          <w:rFonts w:ascii="Times New Roman;serif" w:hAnsi="Times New Roman;serif"/>
          <w:b w:val="false"/>
          <w:color w:val="000000"/>
          <w:sz w:val="24"/>
        </w:rPr>
        <w:t xml:space="preserve">the title of the Securities of the series (which shall distinguish the Securities of that series from all other Securities);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 </w:t>
      </w:r>
      <w:r>
        <w:rPr>
          <w:rFonts w:ascii="Times New Roman;serif" w:hAnsi="Times New Roman;serif"/>
          <w:b w:val="false"/>
          <w:color w:val="000000"/>
          <w:sz w:val="24"/>
        </w:rPr>
        <w:t xml:space="preserve">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(3) </w:t>
      </w:r>
      <w:r>
        <w:rPr>
          <w:rFonts w:ascii="Times New Roman;serif" w:hAnsi="Times New Roman;serif"/>
          <w:b w:val="false"/>
          <w:color w:val="000000"/>
          <w:sz w:val="24"/>
        </w:rPr>
        <w:t xml:space="preserve">the maturity date or dates on which the principal of the Securities of the series is payable;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(4) </w:t>
      </w:r>
      <w:r>
        <w:rPr>
          <w:rFonts w:ascii="Times New Roman;serif" w:hAnsi="Times New Roman;serif"/>
          <w:b w:val="false"/>
          <w:color w:val="000000"/>
          <w:sz w:val="24"/>
        </w:rPr>
        <w:t xml:space="preserve">the form of the Securities of the series including the form of the certificate of authentication for such series;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(5) </w:t>
      </w:r>
      <w:r>
        <w:rPr>
          <w:rFonts w:ascii="Times New Roman;serif" w:hAnsi="Times New Roman;serif"/>
          <w:b w:val="false"/>
          <w:color w:val="000000"/>
          <w:sz w:val="24"/>
        </w:rPr>
        <w:t>the applicability of any guarantees;</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(6) </w:t>
      </w:r>
      <w:r>
        <w:rPr>
          <w:rFonts w:ascii="Times New Roman;serif" w:hAnsi="Times New Roman;serif"/>
          <w:b w:val="false"/>
          <w:color w:val="000000"/>
          <w:sz w:val="24"/>
        </w:rPr>
        <w:t>whether or not the Securities will be secured or unsecured, and the terms of any secured debt;</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(7) </w:t>
      </w:r>
      <w:r>
        <w:rPr>
          <w:rFonts w:ascii="Times New Roman;serif" w:hAnsi="Times New Roman;serif"/>
          <w:b w:val="false"/>
          <w:color w:val="000000"/>
          <w:sz w:val="24"/>
        </w:rPr>
        <w:t>whether the Securities rank as senior debt, senior subordinated debt, subordinated debt or any combination thereof, and the terms of any subordination;</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(8) </w:t>
      </w:r>
      <w:r>
        <w:rPr>
          <w:rFonts w:ascii="Times New Roman;serif" w:hAnsi="Times New Roman;serif"/>
          <w:b w:val="false"/>
          <w:color w:val="000000"/>
          <w:sz w:val="24"/>
        </w:rPr>
        <w:t xml:space="preserve">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(9) </w:t>
      </w:r>
      <w:r>
        <w:rPr>
          <w:rFonts w:ascii="Times New Roman;serif" w:hAnsi="Times New Roman;serif"/>
          <w:b w:val="false"/>
          <w:color w:val="000000"/>
          <w:sz w:val="24"/>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(10) </w:t>
      </w:r>
      <w:r>
        <w:rPr>
          <w:rFonts w:ascii="Times New Roman;serif" w:hAnsi="Times New Roman;serif"/>
          <w:b w:val="false"/>
          <w:color w:val="000000"/>
          <w:sz w:val="24"/>
        </w:rPr>
        <w:t xml:space="preserve">the Company’s right, if any, to defer the payment of interest and the maximum length of any such deferral period;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(11) </w:t>
      </w:r>
      <w:r>
        <w:rPr>
          <w:rFonts w:ascii="Times New Roman;serif" w:hAnsi="Times New Roman;serif"/>
          <w:b w:val="false"/>
          <w:color w:val="000000"/>
          <w:sz w:val="24"/>
        </w:rPr>
        <w:t xml:space="preserve">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(12) </w:t>
      </w:r>
      <w:r>
        <w:rPr>
          <w:rFonts w:ascii="Times New Roman;serif" w:hAnsi="Times New Roman;serif"/>
          <w:b w:val="false"/>
          <w:color w:val="000000"/>
          <w:sz w:val="24"/>
        </w:rPr>
        <w:t xml:space="preserve">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lineRule="auto" w:line="288"/>
        <w:ind w:left="0" w:right="0" w:firstLine="2160"/>
        <w:jc w:val="both"/>
        <w:rPr/>
      </w:pPr>
      <w:r>
        <w:rPr>
          <w:rFonts w:ascii="Times New Roman;serif" w:hAnsi="Times New Roman;serif"/>
          <w:b/>
          <w:color w:val="000000"/>
          <w:sz w:val="24"/>
        </w:rPr>
        <w:t xml:space="preserve">(13) </w:t>
      </w:r>
      <w:r>
        <w:rPr>
          <w:rFonts w:ascii="Times New Roman;serif" w:hAnsi="Times New Roman;serif"/>
          <w:b w:val="false"/>
          <w:color w:val="000000"/>
          <w:sz w:val="24"/>
        </w:rPr>
        <w:t xml:space="preserve">the denominations in which the Securities of the series shall be issuable, if other than denominations of one thousand U.S. dollars ($1,000) or any integral multiple thereof;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(14) </w:t>
      </w:r>
      <w:r>
        <w:rPr>
          <w:rFonts w:ascii="Times New Roman;serif" w:hAnsi="Times New Roman;serif"/>
          <w:b w:val="false"/>
          <w:color w:val="000000"/>
          <w:sz w:val="24"/>
        </w:rPr>
        <w:t xml:space="preserve">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(15) </w:t>
      </w:r>
      <w:r>
        <w:rPr>
          <w:rFonts w:ascii="Times New Roman;serif" w:hAnsi="Times New Roman;serif"/>
          <w:b w:val="false"/>
          <w:color w:val="000000"/>
          <w:sz w:val="24"/>
        </w:rPr>
        <w:t xml:space="preserve">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(16) </w:t>
      </w:r>
      <w:r>
        <w:rPr>
          <w:rFonts w:ascii="Times New Roman;serif" w:hAnsi="Times New Roman;serif"/>
          <w:b w:val="false"/>
          <w:color w:val="000000"/>
          <w:sz w:val="24"/>
        </w:rPr>
        <w:t xml:space="preserve">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(17) </w:t>
      </w:r>
      <w:r>
        <w:rPr>
          <w:rFonts w:ascii="Times New Roman;serif" w:hAnsi="Times New Roman;serif"/>
          <w:b w:val="false"/>
          <w:color w:val="000000"/>
          <w:sz w:val="24"/>
        </w:rPr>
        <w:t xml:space="preserve">if other than the full principal amount thereof, the portion of the principal amount of Securities of the series which shall be payable upon declaration of acceleration of the maturity thereof pursuant to Section 6.01;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(18) </w:t>
      </w:r>
      <w:r>
        <w:rPr>
          <w:rFonts w:ascii="Times New Roman;serif" w:hAnsi="Times New Roman;serif"/>
          <w:b w:val="false"/>
          <w:color w:val="000000"/>
          <w:sz w:val="24"/>
        </w:rPr>
        <w:t>additions to or changes in the covenants applicable to the series of Securities being issued, including, among others, the consolidation, merger or sale covenant;</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(19) </w:t>
      </w:r>
      <w:r>
        <w:rPr>
          <w:rFonts w:ascii="Times New Roman;serif" w:hAnsi="Times New Roman;serif"/>
          <w:b w:val="false"/>
          <w:color w:val="000000"/>
          <w:sz w:val="24"/>
        </w:rPr>
        <w:t xml:space="preserve">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(20) </w:t>
      </w:r>
      <w:r>
        <w:rPr>
          <w:rFonts w:ascii="Times New Roman;serif" w:hAnsi="Times New Roman;serif"/>
          <w:b w:val="false"/>
          <w:color w:val="000000"/>
          <w:sz w:val="24"/>
        </w:rPr>
        <w:t xml:space="preserve">additions to or changes in or deletions of the provisions relating to covenant defeasance and legal defeasance;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(21) </w:t>
      </w:r>
      <w:r>
        <w:rPr>
          <w:rFonts w:ascii="Times New Roman;serif" w:hAnsi="Times New Roman;serif"/>
          <w:b w:val="false"/>
          <w:color w:val="000000"/>
          <w:sz w:val="24"/>
        </w:rPr>
        <w:t xml:space="preserve">additions to or changes in the provisions relating to satisfaction and discharge of this Indenture;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(22) </w:t>
      </w:r>
      <w:r>
        <w:rPr>
          <w:rFonts w:ascii="Times New Roman;serif" w:hAnsi="Times New Roman;serif"/>
          <w:b w:val="false"/>
          <w:color w:val="000000"/>
          <w:sz w:val="24"/>
        </w:rPr>
        <w:t>additions to or changes in the provisions relating to the modification of this Indenture both with and without the consent of Securityholders of Securities issued under this Indenture;</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(23) </w:t>
      </w:r>
      <w:r>
        <w:rPr>
          <w:rFonts w:ascii="Times New Roman;serif" w:hAnsi="Times New Roman;serif"/>
          <w:b w:val="false"/>
          <w:color w:val="000000"/>
          <w:sz w:val="24"/>
        </w:rPr>
        <w:t>the currency of payment of Securities if other than U.S. dollars and the manner of determining the equivalent amount in U.S. dollars;</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(24) </w:t>
      </w:r>
      <w:r>
        <w:rPr>
          <w:rFonts w:ascii="Times New Roman;serif" w:hAnsi="Times New Roman;serif"/>
          <w:b w:val="false"/>
          <w:color w:val="000000"/>
          <w:sz w:val="24"/>
        </w:rPr>
        <w:t>whether interest will be payable in cash or additional Securities at the Company’s or the Securityholders’ option and the terms and conditions upon which the election may be made;</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(25) </w:t>
      </w:r>
      <w:r>
        <w:rPr>
          <w:rFonts w:ascii="Times New Roman;serif" w:hAnsi="Times New Roman;serif"/>
          <w:b w:val="false"/>
          <w:color w:val="000000"/>
          <w:sz w:val="24"/>
        </w:rPr>
        <w:t xml:space="preserve">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(26) </w:t>
      </w:r>
      <w:r>
        <w:rPr>
          <w:rFonts w:ascii="Times New Roman;serif" w:hAnsi="Times New Roman;serif"/>
          <w:b w:val="false"/>
          <w:color w:val="000000"/>
          <w:sz w:val="24"/>
        </w:rPr>
        <w:t>any restrictions on transfer, sale or assignment of the Securities of the series;</w:t>
      </w:r>
      <w:r>
        <w:rPr>
          <w:color w:val="000000"/>
        </w:rPr>
        <w:t> </w:t>
      </w:r>
      <w:r>
        <w:rPr>
          <w:rFonts w:ascii="Times New Roman;serif" w:hAnsi="Times New Roman;serif"/>
          <w:b w:val="false"/>
          <w:color w:val="000000"/>
          <w:sz w:val="24"/>
        </w:rPr>
        <w:t>and</w:t>
      </w:r>
    </w:p>
    <w:p>
      <w:pPr>
        <w:pStyle w:val="TextBody"/>
        <w:bidi w:val="0"/>
        <w:spacing w:lineRule="auto" w:line="288"/>
        <w:ind w:left="0" w:right="0" w:firstLine="2160"/>
        <w:jc w:val="both"/>
        <w:rPr/>
      </w:pPr>
      <w:r>
        <w:rPr>
          <w:rFonts w:ascii="Times New Roman;serif" w:hAnsi="Times New Roman;serif"/>
          <w:b/>
          <w:color w:val="000000"/>
          <w:sz w:val="24"/>
        </w:rPr>
        <w:t xml:space="preserve">(27) </w:t>
      </w:r>
      <w:r>
        <w:rPr>
          <w:rFonts w:ascii="Times New Roman;serif" w:hAnsi="Times New Roman;serif"/>
          <w:b w:val="false"/>
          <w:color w:val="000000"/>
          <w:sz w:val="24"/>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2.02 Form of Securities and Trustee’s Certificate</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2.03 Denominations: Provisions for Payment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 </w:t>
      </w:r>
      <w:r>
        <w:rPr>
          <w:rFonts w:ascii="Times New Roman;serif" w:hAnsi="Times New Roman;serif"/>
          <w:b w:val="false"/>
          <w:color w:val="000000"/>
          <w:sz w:val="24"/>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(2) </w:t>
      </w:r>
      <w:r>
        <w:rPr>
          <w:rFonts w:ascii="Times New Roman;serif" w:hAnsi="Times New Roman;serif"/>
          <w:b w:val="false"/>
          <w:color w:val="000000"/>
          <w:sz w:val="24"/>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2.04 Execution and Authentications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shall be signed on behalf of the Company by one of its Officers. Signatures may be in the form of a manual or facsimile signature.</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The Securities may contain such notations, legends or endorsements required by law, stock exchange rule or usage. Each Security shall be dated the date of its authentication by the Trustee.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2.05 Registration of Transfer and Exchange</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initially appoints the Trustee as Security Registrar for each series of Securities.</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Securities presented or surrendered for exchange or registration of transfer, as provided in this Section, shall be accompanied (if so required by the Company or the Security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Registrar) by a written instrument or instruments of transfer, in form satisfactory to the Company or the Security Registrar, duly executed by the registered holder or by such holder’s duly authorized attorney in writing.</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(d) </w:t>
      </w:r>
      <w:r>
        <w:rPr>
          <w:rFonts w:ascii="Times New Roman;serif" w:hAnsi="Times New Roman;serif"/>
          <w:b w:val="false"/>
          <w:color w:val="000000"/>
          <w:sz w:val="24"/>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2.06 Temporary Securities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Until so exchanged, the temporary Securities of such series shall be entitled to the same benefits under this Indenture as definitive Securities of such series authenticated and delivered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2.07 Mutilated, Destroyed, Lost or Stolen Securities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2.08 Cancellation</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however, such acquisition shall not operate as a redemption or satisfaction of the indebtedness represented by such Securities unless and until the same are delivered to the Trustee for cancellation.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2.09 Benefits of Indenture</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2.10 Authenticating Agent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2.11 Global Securities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but not in part, only to another nominee of the Depositary or to a successor Depositary or to a nominee of such successor Depositary.”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2.12 CUSIP Numbers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ARTICLE 3 </w:t>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REDEMPTION OF SECURITIES AND SINKING FUND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3.01 Redemption</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redeem the Securities of any series issued hereunder on and after the dates and in accordance with the terms established for such series pursuant to Section 2.01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3.02 Notice of Redemption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lineRule="auto" w:line="288"/>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If less than all the Securities of a series are to be redeemed, the Company shall give the Trustee at least 45 days’ notice (unless a shorter notice shall be satisfactory to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3.03 Payment Upon Redemption</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3.04 Sinking Fund</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3.05 Satisfaction of Sinking Fund Payments with Securities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3.06 Redemption of Securities for Sinking Fund</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4.01 Payment of Principal, Premium and Interest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4.02 Maintenance of Office or Agency</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4.03 Paying Agents</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 xml:space="preserve">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 </w:t>
      </w:r>
      <w:r>
        <w:rPr>
          <w:rFonts w:ascii="Times New Roman;serif" w:hAnsi="Times New Roman;serif"/>
          <w:b w:val="false"/>
          <w:color w:val="000000"/>
          <w:sz w:val="24"/>
        </w:rPr>
        <w:t xml:space="preserve">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lineRule="auto" w:line="288" w:before="0" w:after="240"/>
        <w:ind w:left="0" w:right="0" w:firstLine="2160"/>
        <w:jc w:val="both"/>
        <w:rPr/>
      </w:pPr>
      <w:r>
        <w:rPr>
          <w:rFonts w:ascii="Times New Roman;serif" w:hAnsi="Times New Roman;serif"/>
          <w:b/>
          <w:color w:val="000000"/>
          <w:sz w:val="24"/>
        </w:rPr>
        <w:t xml:space="preserve">(2) </w:t>
      </w:r>
      <w:r>
        <w:rPr>
          <w:rFonts w:ascii="Times New Roman;serif" w:hAnsi="Times New Roman;serif"/>
          <w:b w:val="false"/>
          <w:color w:val="000000"/>
          <w:sz w:val="24"/>
        </w:rPr>
        <w:t xml:space="preserve">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(3) </w:t>
      </w:r>
      <w:r>
        <w:rPr>
          <w:rFonts w:ascii="Times New Roman;serif" w:hAnsi="Times New Roman;serif"/>
          <w:b w:val="false"/>
          <w:color w:val="000000"/>
          <w:sz w:val="24"/>
        </w:rPr>
        <w:t xml:space="preserve">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(4) </w:t>
      </w:r>
      <w:r>
        <w:rPr>
          <w:rFonts w:ascii="Times New Roman;serif" w:hAnsi="Times New Roman;serif"/>
          <w:b w:val="false"/>
          <w:color w:val="000000"/>
          <w:sz w:val="24"/>
        </w:rPr>
        <w:t>that it will perform all other duties of paying agent as set forth in this Indenture.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lineRule="auto" w:line="288"/>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 xml:space="preserve">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such paying agent; and, upon such payment by the Company or any paying agent to the Trustee, the Company or such paying agent shall be released from all further liability with respect to such money.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4.04 Appointment to Fill Vacancy in Office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whenever necessary to avoid or fill a vacancy in the office of Trustee, will appoint, in the manner provided in Section 7.10, a Trustee, so that there shall at all times be a Trustee hereunder.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SECURITYHOLDERS’ LISTS AND REPORTS BY THE COMPANY AND THE TRUSTEE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5.01 Company to Furnish Trustee Names and Addresses of Securityholders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5.02 Preservation Of Information; Communications With Securityholders</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lineRule="auto" w:line="288" w:before="0" w:after="0"/>
        <w:ind w:left="0" w:right="0" w:firstLine="1440"/>
        <w:jc w:val="both"/>
        <w:rPr/>
      </w:pPr>
      <w:r>
        <w:rPr>
          <w:rFonts w:ascii="Times New Roman;serif" w:hAnsi="Times New Roman;serif"/>
          <w:b/>
          <w:color w:val="000000"/>
          <w:sz w:val="24"/>
        </w:rPr>
        <w:t>(b)</w:t>
      </w:r>
      <w:r>
        <w:rPr>
          <w:color w:val="000000"/>
        </w:rPr>
        <w:t xml:space="preserve"> </w:t>
      </w:r>
      <w:r>
        <w:rPr>
          <w:rFonts w:ascii="Times New Roman;serif" w:hAnsi="Times New Roman;serif"/>
          <w:b w:val="false"/>
          <w:color w:val="000000"/>
          <w:sz w:val="24"/>
        </w:rPr>
        <w:t>The Trustee may destroy any list furnished to it as provided in Section 5.01 upon receipt of a new list so furnished.</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5.03 Reports by the Company</w:t>
      </w:r>
      <w:r>
        <w:rPr>
          <w:rFonts w:ascii="Times New Roman;serif" w:hAnsi="Times New Roman;serif"/>
          <w:b w:val="false"/>
          <w:color w:val="000000"/>
          <w:sz w:val="24"/>
        </w:rPr>
        <w:t>.</w:t>
      </w:r>
    </w:p>
    <w:p>
      <w:pPr>
        <w:pStyle w:val="TextBody"/>
        <w:bidi w:val="0"/>
        <w:spacing w:lineRule="auto" w:line="288"/>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5.04 Reports by the Trustee</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The Trustee shall comply with Section 313(b) and 313(c) of the Trust Indenture Act.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REMEDIES OF THE TRUSTEE AND SECURITYHOLDERS ON EVENT OF DEFAULT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6.01 Events of Default</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Whenever used herein with respect to Securities of a particular series, “Event of Default” means any one or more of the following events that has occurred and is continuing: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(1) </w:t>
      </w:r>
      <w:r>
        <w:rPr>
          <w:rFonts w:ascii="Times New Roman;serif" w:hAnsi="Times New Roman;serif"/>
          <w:b w:val="false"/>
          <w:color w:val="000000"/>
          <w:sz w:val="24"/>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88"/>
        <w:ind w:left="0" w:right="0" w:firstLine="2160"/>
        <w:jc w:val="both"/>
        <w:rPr/>
      </w:pPr>
      <w:r>
        <w:rPr>
          <w:rFonts w:ascii="Times New Roman;serif" w:hAnsi="Times New Roman;serif"/>
          <w:b/>
          <w:color w:val="000000"/>
          <w:sz w:val="24"/>
        </w:rPr>
        <w:t xml:space="preserve">(2) </w:t>
      </w:r>
      <w:r>
        <w:rPr>
          <w:rFonts w:ascii="Times New Roman;serif" w:hAnsi="Times New Roman;serif"/>
          <w:b w:val="false"/>
          <w:color w:val="000000"/>
          <w:sz w:val="24"/>
        </w:rPr>
        <w:t xml:space="preserve">the Company defaults in the payment of the principal of (or premium, if any, on) any of the Securities of that series as and when the same shall become due and payable whether at maturity, upon redemption, by declaration or otherwise, or in any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(3) </w:t>
      </w:r>
      <w:r>
        <w:rPr>
          <w:rFonts w:ascii="Times New Roman;serif" w:hAnsi="Times New Roman;serif"/>
          <w:b w:val="false"/>
          <w:color w:val="000000"/>
          <w:sz w:val="24"/>
        </w:rPr>
        <w:t xml:space="preserve">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(4) </w:t>
      </w:r>
      <w:r>
        <w:rPr>
          <w:rFonts w:ascii="Times New Roman;serif" w:hAnsi="Times New Roman;serif"/>
          <w:b w:val="false"/>
          <w:color w:val="000000"/>
          <w:sz w:val="24"/>
        </w:rPr>
        <w:t xml:space="preserve">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(5) </w:t>
      </w:r>
      <w:r>
        <w:rPr>
          <w:rFonts w:ascii="Times New Roman;serif" w:hAnsi="Times New Roman;serif"/>
          <w:b w:val="false"/>
          <w:color w:val="000000"/>
          <w:sz w:val="24"/>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lineRule="auto" w:line="288"/>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such rescission and annulment shall extend to or shall affect any subsequent default or impair any right consequent thereon.</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6.02 Collection of Indebtedness and Suits for Enforcement by Trustee</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88"/>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 xml:space="preserve">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6.03 Application of Moneys Collected</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FIRST: To the payment of reasonable costs and expenses of collection and of all amounts payable to the Trustee under Section 7.06;</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THIRD: To the payment of the remainder, if any, to the Company or any other Person lawfully entitled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6.04 Limitation on Suits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holder of any Security of any series shall have any right by virtue or by availing of any provision of this Indenture to institute any suit, action or proceeding in equity or at law upon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6.05 Rights and Remedies Cumulative; Delay or Omission Not Waiver</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color w:val="000000"/>
          <w:sz w:val="24"/>
        </w:rPr>
        <w:t>Section 6.06 Control by Securityholders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6.07 Undertaking to Pay Costs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CONCERNING THE TRUSTEE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7.01 Certain Duties and Responsibilities of Trustee</w:t>
      </w:r>
      <w:r>
        <w:rPr>
          <w:rFonts w:ascii="Times New Roman;serif" w:hAnsi="Times New Roman;serif"/>
          <w:b w:val="false"/>
          <w:color w:val="000000"/>
          <w:sz w:val="24"/>
        </w:rPr>
        <w:t>.</w:t>
      </w:r>
    </w:p>
    <w:p>
      <w:pPr>
        <w:pStyle w:val="TextBody"/>
        <w:bidi w:val="0"/>
        <w:spacing w:lineRule="auto" w:line="288"/>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Trustee, prior to the occurrence of an Event of Default with respect to the Securities of a series and after the curing of all Events of Default with respect to the Securities of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No provision of this Indenture shall be construed to relieve the Trustee from liability for its own negligent action, its own negligent failure to act, or its own willful misconduct, except that: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(i) </w:t>
      </w:r>
      <w:r>
        <w:rPr>
          <w:rFonts w:ascii="Times New Roman;serif" w:hAnsi="Times New Roman;serif"/>
          <w:b w:val="false"/>
          <w:color w:val="000000"/>
          <w:sz w:val="24"/>
        </w:rPr>
        <w:t xml:space="preserve">prior to the occurrence of an Event of Default with respect to the Securities of a series and after the curing or waiving of all such Events of Default with respect to that series that may have occurred: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(ii) </w:t>
      </w:r>
      <w:r>
        <w:rPr>
          <w:rFonts w:ascii="Times New Roman;serif" w:hAnsi="Times New Roman;serif"/>
          <w:b w:val="false"/>
          <w:color w:val="000000"/>
          <w:sz w:val="24"/>
        </w:rPr>
        <w:t xml:space="preserve">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(iii) </w:t>
      </w:r>
      <w:r>
        <w:rPr>
          <w:rFonts w:ascii="Times New Roman;serif" w:hAnsi="Times New Roman;serif"/>
          <w:b w:val="false"/>
          <w:color w:val="000000"/>
          <w:sz w:val="24"/>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(iv) </w:t>
      </w:r>
      <w:r>
        <w:rPr>
          <w:rFonts w:ascii="Times New Roman;serif" w:hAnsi="Times New Roman;serif"/>
          <w:b w:val="false"/>
          <w:color w:val="000000"/>
          <w:sz w:val="24"/>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7.02 Certain Rights of Trustee</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Section 7.01: </w:t>
      </w:r>
    </w:p>
    <w:p>
      <w:pPr>
        <w:pStyle w:val="TextBody"/>
        <w:bidi w:val="0"/>
        <w:spacing w:lineRule="auto" w:line="288"/>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Trustee may conclusively rely and shall be protected in acting or refraining from acting upon any resolution, certificate, statement, instrument, opinion, report,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notice, request, consent, order, approval, bond, security or other paper or document believed by it to be genuine and to have been signed or presented by the proper party or parties;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 xml:space="preserve">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 xml:space="preserve">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(e) </w:t>
      </w:r>
      <w:r>
        <w:rPr>
          <w:rFonts w:ascii="Times New Roman;serif" w:hAnsi="Times New Roman;serif"/>
          <w:b w:val="false"/>
          <w:color w:val="000000"/>
          <w:sz w:val="24"/>
        </w:rPr>
        <w:t xml:space="preserve">The Trustee shall not be liable for any action taken or omitted to be taken by it in good faith and believed by it to be authorized or within the discretion or rights or powers conferred upon it by this Indenture;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(f) </w:t>
      </w:r>
      <w:r>
        <w:rPr>
          <w:rFonts w:ascii="Times New Roman;serif" w:hAnsi="Times New Roman;serif"/>
          <w:b w:val="false"/>
          <w:color w:val="000000"/>
          <w:sz w:val="24"/>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(g) </w:t>
      </w:r>
      <w:r>
        <w:rPr>
          <w:rFonts w:ascii="Times New Roman;serif" w:hAnsi="Times New Roman;serif"/>
          <w:b w:val="false"/>
          <w:color w:val="000000"/>
          <w:sz w:val="24"/>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ind w:left="0" w:right="0" w:firstLine="1440"/>
        <w:jc w:val="both"/>
        <w:rPr/>
      </w:pPr>
      <w:r>
        <w:rPr>
          <w:rFonts w:ascii="Times New Roman;serif" w:hAnsi="Times New Roman;serif"/>
          <w:b/>
          <w:color w:val="000000"/>
          <w:sz w:val="24"/>
        </w:rPr>
        <w:t xml:space="preserve">(h) </w:t>
      </w:r>
      <w:r>
        <w:rPr>
          <w:rFonts w:ascii="Times New Roman;serif" w:hAnsi="Times New Roman;serif"/>
          <w:b w:val="false"/>
          <w:color w:val="000000"/>
          <w:sz w:val="24"/>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(i) </w:t>
      </w:r>
      <w:r>
        <w:rPr>
          <w:rFonts w:ascii="Times New Roman;serif" w:hAnsi="Times New Roman;serif"/>
          <w:b w:val="false"/>
          <w:color w:val="000000"/>
          <w:sz w:val="24"/>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(j) </w:t>
      </w:r>
      <w:r>
        <w:rPr>
          <w:rFonts w:ascii="Times New Roman;serif" w:hAnsi="Times New Roman;serif"/>
          <w:b w:val="false"/>
          <w:color w:val="000000"/>
          <w:sz w:val="24"/>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and</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(k) </w:t>
      </w:r>
      <w:r>
        <w:rPr>
          <w:rFonts w:ascii="Times New Roman;serif" w:hAnsi="Times New Roman;serif"/>
          <w:b w:val="false"/>
          <w:color w:val="000000"/>
          <w:sz w:val="24"/>
        </w:rPr>
        <w:t xml:space="preserve">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7.03 Trustee Not Responsible for Recitals or Issuance or Securities</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The Trustee makes no representations as to the validity or sufficiency of this Indenture or of the Securities.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color w:val="000000"/>
          <w:sz w:val="24"/>
        </w:rPr>
        <w:t>Section 7.04 May Hold Securities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or any paying agent or Security Registrar, in its individual or any other capacity, may become the owner or pledgee of Securities with the same rights it would have if it were not Trustee, paying agent or Security Registrar.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7.05 Moneys Held in Trust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7.06 Compensation and Reimbursement</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 xml:space="preserve">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7.07 Reliance on Officer’s Certificate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7.08 Disqualification; Conflicting Interests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has or shall acquire any “conflicting interest” within the meaning of Section 310(b) of the Trust Indenture Act, the Trustee and the Company shall in all respects comply with the provisions of Section 310(b) of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7.09 Corporate Trustee Required; Eligibility</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7.10 Resignation and Removal; Appointment of Successor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In case at any time any one of the following shall occur: </w:t>
      </w:r>
    </w:p>
    <w:p>
      <w:pPr>
        <w:pStyle w:val="TextBody"/>
        <w:bidi w:val="0"/>
        <w:spacing w:lineRule="auto" w:line="288"/>
        <w:ind w:left="0" w:right="0" w:firstLine="2160"/>
        <w:jc w:val="both"/>
        <w:rPr/>
      </w:pPr>
      <w:r>
        <w:rPr>
          <w:rFonts w:ascii="Times New Roman;serif" w:hAnsi="Times New Roman;serif"/>
          <w:b/>
          <w:color w:val="000000"/>
          <w:sz w:val="24"/>
        </w:rPr>
        <w:t xml:space="preserve">(i) </w:t>
      </w:r>
      <w:r>
        <w:rPr>
          <w:rFonts w:ascii="Times New Roman;serif" w:hAnsi="Times New Roman;serif"/>
          <w:b w:val="false"/>
          <w:color w:val="000000"/>
          <w:sz w:val="24"/>
        </w:rPr>
        <w:t xml:space="preserve">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(ii) </w:t>
      </w:r>
      <w:r>
        <w:rPr>
          <w:rFonts w:ascii="Times New Roman;serif" w:hAnsi="Times New Roman;serif"/>
          <w:b w:val="false"/>
          <w:color w:val="000000"/>
          <w:sz w:val="24"/>
        </w:rPr>
        <w:t xml:space="preserve">the Trustee shall cease to be eligible in accordance with the provisions of Section 7.09 and shall fail to resign after written request therefor by the Company or by any such Securityholder; or </w:t>
      </w:r>
    </w:p>
    <w:p>
      <w:pPr>
        <w:pStyle w:val="TextBody"/>
        <w:bidi w:val="0"/>
        <w:spacing w:lineRule="auto" w:line="288" w:before="0" w:after="0"/>
        <w:ind w:left="0" w:right="0" w:firstLine="2160"/>
        <w:jc w:val="both"/>
        <w:rPr/>
      </w:pPr>
      <w:r>
        <w:rPr>
          <w:rFonts w:ascii="Times New Roman;serif" w:hAnsi="Times New Roman;serif"/>
          <w:b/>
          <w:color w:val="000000"/>
          <w:sz w:val="24"/>
        </w:rPr>
        <w:t xml:space="preserve">(iii) </w:t>
      </w:r>
      <w:r>
        <w:rPr>
          <w:rFonts w:ascii="Times New Roman;serif" w:hAnsi="Times New Roman;serif"/>
          <w:b w:val="false"/>
          <w:color w:val="000000"/>
          <w:sz w:val="24"/>
        </w:rPr>
        <w:t xml:space="preserve">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(e) </w:t>
      </w:r>
      <w:r>
        <w:rPr>
          <w:rFonts w:ascii="Times New Roman;serif" w:hAnsi="Times New Roman;serif"/>
          <w:b w:val="false"/>
          <w:color w:val="000000"/>
          <w:sz w:val="24"/>
        </w:rPr>
        <w:t>Any successor trustee appointed pursuant to this Section may be appointed with respect to the Securities of one or more series or all of such series, and at any time there shall be only one Trustee with respect to the Securities of any particular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7.11 Acceptance of Appointment By Successor</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No successor trustee shall accept its appointment unless at the time of such acceptance such successor trustee shall be qualified and eligible under this Article.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(e) </w:t>
      </w:r>
      <w:r>
        <w:rPr>
          <w:rFonts w:ascii="Times New Roman;serif" w:hAnsi="Times New Roman;serif"/>
          <w:b w:val="false"/>
          <w:color w:val="000000"/>
          <w:sz w:val="24"/>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7.12 Merger, Conversion, Consolidation or Succession to Business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deliver the Securities so authenticated with the same effect as if such successor Trustee had itself authenticated such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7.13 Preferential Collection of Claims Against the Company</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7.14 Notice of Default</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serif" w:hAnsi="Times New Roman;serif"/>
          <w:b w:val="false"/>
          <w:i/>
          <w:color w:val="000000"/>
          <w:sz w:val="24"/>
        </w:rPr>
        <w:t>provided, however</w:t>
      </w:r>
      <w:r>
        <w:rPr>
          <w:rFonts w:ascii="Times New Roman;serif" w:hAnsi="Times New Roman;serif"/>
          <w:b w:val="false"/>
          <w:color w:val="000000"/>
          <w:sz w:val="24"/>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CONCERNING THE SECURITYHOLDERS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8.01 Evidence of Action by Securityholders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color w:val="000000"/>
          <w:sz w:val="24"/>
        </w:rPr>
        <w:t>Section 8.02 Proof of Execution by Securityholders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The fact and date of the execution by any such Person of any instrument may be proved in any reasonable manner acceptable to the Trustee.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The ownership of Securities shall be proved by the Security Register of such Securities or by a certificate of the Security Registrar thereof.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Trustee may require such additional proof of any matter referred to in this Section as it shall deem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8.03 Who May be Deemed Owners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8.04 Certain Securities Owned by Company Disregarded</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8.05 Actions Binding on Future Securityholders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SUPPLEMENTAL INDENTURES</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9.01 Supplemental Indentures Without the Consent of Securityholders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to cure any ambiguity, defect, or inconsistency herein or in the Securities of any series;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 xml:space="preserve">to comply with Article Ten;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 xml:space="preserve">to provide for uncertificated Securities in addition to or in place of certificated Securities;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(d) </w:t>
      </w:r>
      <w:r>
        <w:rPr>
          <w:rFonts w:ascii="Times New Roman;serif" w:hAnsi="Times New Roman;serif"/>
          <w:b w:val="false"/>
          <w:color w:val="000000"/>
          <w:sz w:val="24"/>
        </w:rPr>
        <w:t xml:space="preserve">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(e) </w:t>
      </w:r>
      <w:r>
        <w:rPr>
          <w:rFonts w:ascii="Times New Roman;serif" w:hAnsi="Times New Roman;serif"/>
          <w:b w:val="false"/>
          <w:color w:val="000000"/>
          <w:sz w:val="24"/>
        </w:rPr>
        <w:t xml:space="preserve">to add to, delete from, or revise the conditions, limitations, and restrictions on the authorized amount, terms, or purposes of issue, authentication, and delivery of Securities, as herein set forth;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(f) </w:t>
      </w:r>
      <w:r>
        <w:rPr>
          <w:rFonts w:ascii="Times New Roman;serif" w:hAnsi="Times New Roman;serif"/>
          <w:b w:val="false"/>
          <w:color w:val="000000"/>
          <w:sz w:val="24"/>
        </w:rPr>
        <w:t xml:space="preserve">to make any change that does not adversely affect the rights of any Securityholder in any material respect;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(g) </w:t>
      </w:r>
      <w:r>
        <w:rPr>
          <w:rFonts w:ascii="Times New Roman;serif" w:hAnsi="Times New Roman;serif"/>
          <w:b w:val="false"/>
          <w:color w:val="000000"/>
          <w:sz w:val="24"/>
        </w:rPr>
        <w:t xml:space="preserve">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(h) </w:t>
      </w:r>
      <w:r>
        <w:rPr>
          <w:rFonts w:ascii="Times New Roman;serif" w:hAnsi="Times New Roman;serif"/>
          <w:b w:val="false"/>
          <w:color w:val="000000"/>
          <w:sz w:val="24"/>
        </w:rPr>
        <w:t xml:space="preserve">to evidence and provide for the acceptance of appointment hereunder by a successor trustee; or </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 </w:t>
      </w:r>
      <w:r>
        <w:rPr>
          <w:rFonts w:ascii="Times New Roman;serif" w:hAnsi="Times New Roman;serif"/>
          <w:b w:val="false"/>
          <w:color w:val="000000"/>
          <w:sz w:val="24"/>
        </w:rPr>
        <w:t>to comply with any requirements of the Commission or any successor in connection with the qualification of this Indenture under the Trust Indenture Act.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indenture that affects the Trustee’s own rights, duties or immunities under this Indenture or otherwise.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9.02 Supplemental Indentures With Consent of Securityholders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9.03 Effect of Supplemental Indentures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9.04 Securities Affected by Supplemental Indentures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9.05 Execution of Supplemental Indentures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the request of the Company, accompanied by its Board Resolutions authorizing the execution of any such supplemental indenture, and upon the filing with the Trustee of evidence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SUCCESSOR ENTITY</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Section 10.01 Company May Consolidate, Etc.</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10.02 Successor Entity Substituted</w:t>
      </w:r>
      <w:r>
        <w:rPr>
          <w:rFonts w:ascii="Times New Roman;serif" w:hAnsi="Times New Roman;serif"/>
          <w:b w:val="false"/>
          <w:color w:val="000000"/>
          <w:sz w:val="24"/>
        </w:rPr>
        <w:t>.</w:t>
      </w:r>
    </w:p>
    <w:p>
      <w:pPr>
        <w:pStyle w:val="TextBody"/>
        <w:bidi w:val="0"/>
        <w:spacing w:lineRule="auto" w:line="288"/>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In case of any such consolidation, merger, sale, conveyance, transfer or other disposition and upon the assumption by the successor entity by supplemental indenture, executed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(c) </w:t>
      </w:r>
      <w:r>
        <w:rPr>
          <w:rFonts w:ascii="Times New Roman;serif" w:hAnsi="Times New Roman;serif"/>
          <w:b w:val="false"/>
          <w:color w:val="000000"/>
          <w:sz w:val="24"/>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SATISFACTION AND DISCHARGE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11.01 Satisfaction and Discharge of Indenture</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11.02 Discharge of Obligations</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Thereafter, Sections 7.06 and 11.05 shall survive.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11.03 Deposited Moneys to be Held in Trust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11.04 Payment of Moneys Held by Paying Agents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11.05 Repayment to Company</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IMMUNITY OF INCORPORATORS, STOCKHOLDERS, OFFICERS AND DIRECTORS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12.01 No Recourse</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MISCELLANEOUS PROVISIONS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13.01 Effect on Successors and Assigns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the covenants, stipulations, promises and agreements in this Indenture made by or on behalf of the Company shall bind its successors and assigns, whether so expressed or 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13.02 Actions by Successor</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13.03 Surrender of Company Powers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13.04 Notices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follows:__________________________________________________________.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Section 13.05 Governing Law; Jury Trial Waiver</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13.06 Treatment of Securities as Debt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intended that the Securities will be treated as indebtedness and not as equity for federal income tax purposes. The provisions of this Indenture shall be interpreted to further this intention.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13.07 Certificates and Opinions as to Conditions Precedent</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(a) </w:t>
      </w:r>
      <w:r>
        <w:rPr>
          <w:rFonts w:ascii="Times New Roman;serif" w:hAnsi="Times New Roman;serif"/>
          <w:b w:val="false"/>
          <w:color w:val="000000"/>
          <w:sz w:val="24"/>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lineRule="auto" w:line="288" w:before="0" w:after="0"/>
        <w:ind w:left="0" w:right="0" w:firstLine="1440"/>
        <w:jc w:val="both"/>
        <w:rPr/>
      </w:pPr>
      <w:r>
        <w:rPr>
          <w:rFonts w:ascii="Times New Roman;serif" w:hAnsi="Times New Roman;serif"/>
          <w:b/>
          <w:color w:val="000000"/>
          <w:sz w:val="24"/>
        </w:rPr>
        <w:t xml:space="preserve">(b) </w:t>
      </w:r>
      <w:r>
        <w:rPr>
          <w:rFonts w:ascii="Times New Roman;serif" w:hAnsi="Times New Roman;serif"/>
          <w:b w:val="false"/>
          <w:color w:val="000000"/>
          <w:sz w:val="24"/>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13.08 Payments on Business Days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color w:val="000000"/>
          <w:sz w:val="24"/>
        </w:rPr>
        <w:t>Section 13.09 Conflict with Trust Indenture Act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and to the extent that any provision of this Indenture limits, qualifies or conflicts with the duties imposed by Section 318(c) of the Trust Indenture Act, such imposed duties 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13.10 Counterparts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13.11 Separability</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13.12 Compliance Certificates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4"/>
        </w:rPr>
        <w:t>Section 13.13 U.S.A Patriot Act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Section 13.14 Table of Contents; Headings.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intended to be considered a part hereof, and will not modify or restrict any of the terms or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Indenture to be duly executed all as of the day and year first above written.</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NOODLES &amp; COMPANY</w:t>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3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[TRUSTEE]</w:t>
            </w:r>
            <w:r>
              <w:rPr>
                <w:rFonts w:ascii="Times New Roman;serif" w:hAnsi="Times New Roman;serif"/>
                <w:b w:val="false"/>
                <w:color w:val="000000"/>
                <w:sz w:val="24"/>
              </w:rPr>
              <w:t>, as Trustee</w:t>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3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jc w:val="center"/>
        <w:rPr/>
      </w:pPr>
      <w:r>
        <w:rPr>
          <w:rFonts w:ascii="Times New Roman;serif" w:hAnsi="Times New Roman;serif"/>
          <w:b/>
          <w:color w:val="000000"/>
          <w:sz w:val="24"/>
        </w:rPr>
        <w:t>CROSS-REFERENCE TABLE</w:t>
      </w:r>
      <w:r>
        <w:rPr>
          <w:color w:val="000000"/>
        </w:rPr>
        <w:t xml:space="preserve"> </w:t>
      </w:r>
      <w:r>
        <w:rPr>
          <w:rFonts w:ascii="Times New Roman;serif" w:hAnsi="Times New Roman;serif"/>
          <w:b/>
          <w:color w:val="000000"/>
          <w:sz w:val="16"/>
        </w:rPr>
        <w:t>(1)</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tbl>
      <w:tblPr>
        <w:tblW w:w="8611" w:type="dxa"/>
        <w:jc w:val="left"/>
        <w:tblInd w:w="0" w:type="dxa"/>
        <w:tblLayout w:type="fixed"/>
        <w:tblCellMar>
          <w:top w:w="28" w:type="dxa"/>
          <w:left w:w="28" w:type="dxa"/>
          <w:bottom w:w="28" w:type="dxa"/>
          <w:right w:w="28" w:type="dxa"/>
        </w:tblCellMar>
      </w:tblPr>
      <w:tblGrid>
        <w:gridCol w:w="674"/>
        <w:gridCol w:w="588"/>
        <w:gridCol w:w="588"/>
        <w:gridCol w:w="588"/>
        <w:gridCol w:w="588"/>
        <w:gridCol w:w="588"/>
        <w:gridCol w:w="588"/>
        <w:gridCol w:w="588"/>
        <w:gridCol w:w="621"/>
        <w:gridCol w:w="109"/>
        <w:gridCol w:w="109"/>
        <w:gridCol w:w="109"/>
        <w:gridCol w:w="109"/>
        <w:gridCol w:w="109"/>
        <w:gridCol w:w="109"/>
        <w:gridCol w:w="109"/>
        <w:gridCol w:w="109"/>
        <w:gridCol w:w="109"/>
        <w:gridCol w:w="235"/>
        <w:gridCol w:w="235"/>
        <w:gridCol w:w="235"/>
        <w:gridCol w:w="235"/>
        <w:gridCol w:w="235"/>
        <w:gridCol w:w="235"/>
        <w:gridCol w:w="235"/>
        <w:gridCol w:w="235"/>
        <w:gridCol w:w="339"/>
      </w:tblGrid>
      <w:tr>
        <w:trPr/>
        <w:tc>
          <w:tcPr>
            <w:tcW w:w="67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Section of Trust Indenture Act of 1939, as Amended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Section of Indenture</w:t>
            </w:r>
          </w:p>
        </w:tc>
      </w:tr>
      <w:tr>
        <w:trPr/>
        <w:tc>
          <w:tcPr>
            <w:tcW w:w="5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7.09</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7.08</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5.02(a)</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5.04(c)</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5.03</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13.12</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13.07(a)</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13.07(b)</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7.01(a)</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7.14</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7.01</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6.07</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8.04</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6.04</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8.01</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317(a)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6.02</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317(b)</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4.03</w:t>
            </w:r>
          </w:p>
        </w:tc>
      </w:tr>
      <w:tr>
        <w:trPr/>
        <w:tc>
          <w:tcPr>
            <w:tcW w:w="5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318(a)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13.09</w:t>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w:t>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This Cross-Reference Table does not constitute part of the Indenture and shall not have any bearing on the interpretation of any of its terms or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drawing>
          <wp:inline distT="0" distB="0" distL="0" distR="0">
            <wp:extent cx="2286000" cy="257175"/>
            <wp:effectExtent l="0" t="0" r="0" b="0"/>
            <wp:docPr id="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 descr=""/>
                    <pic:cNvPicPr>
                      <a:picLocks noChangeAspect="1" noChangeArrowheads="1"/>
                    </pic:cNvPicPr>
                  </pic:nvPicPr>
                  <pic:blipFill>
                    <a:blip r:embed="rId3"/>
                    <a:stretch>
                      <a:fillRect/>
                    </a:stretch>
                  </pic:blipFill>
                  <pic:spPr bwMode="auto">
                    <a:xfrm>
                      <a:off x="0" y="0"/>
                      <a:ext cx="2286000" cy="2571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21,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Noodles &amp; Company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520 Zang Street, Suite 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Broomfield, Colorado 80021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 Registration Statement on Form S-3 filed by Noodles &amp;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have acted as counsel to Noodles &amp; Company,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filing of a registration statement on Form S-3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The Registration Statement includes a prospectus (the “</w:t>
      </w:r>
      <w:r>
        <w:rPr>
          <w:rFonts w:ascii="Times New Roman;serif" w:hAnsi="Times New Roman;serif"/>
          <w:b/>
          <w:i/>
          <w:color w:val="000000"/>
          <w:sz w:val="20"/>
        </w:rPr>
        <w:t>Base Prospectus</w:t>
      </w:r>
      <w:r>
        <w:rPr>
          <w:color w:val="000000"/>
        </w:rPr>
        <w:t>”</w:t>
      </w:r>
      <w:r>
        <w:rPr>
          <w:rFonts w:ascii="Times New Roman;serif" w:hAnsi="Times New Roman;serif"/>
          <w:b w:val="false"/>
          <w:color w:val="000000"/>
          <w:sz w:val="20"/>
        </w:rPr>
        <w:t>) that provides it will be supplemented in the future by one or more prospectus supplements (each, a “</w:t>
      </w:r>
      <w:r>
        <w:rPr>
          <w:rFonts w:ascii="Times New Roman;serif" w:hAnsi="Times New Roman;serif"/>
          <w:b/>
          <w:i/>
          <w:color w:val="000000"/>
          <w:sz w:val="20"/>
        </w:rPr>
        <w:t>Prospectus Supplement</w:t>
      </w:r>
      <w:r>
        <w:rPr>
          <w:color w:val="000000"/>
        </w:rPr>
        <w:t>”</w:t>
      </w:r>
      <w:r>
        <w:rPr>
          <w:rFonts w:ascii="Times New Roman;serif" w:hAnsi="Times New Roman;serif"/>
          <w:b w:val="false"/>
          <w:color w:val="000000"/>
          <w:sz w:val="20"/>
        </w:rPr>
        <w:t>). The Registration Statement, including the Base Prospectus (as supplemented from time to time by one or more Prospectus Supplements), will provide for the registration by the Company of the sale of the following securities: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shares of Class A Common Stock, par value $0.01 per share, of the Company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shares of preferred stock, par value $0.01 per share, of the Company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debt securities, in one or more series (the “</w:t>
      </w:r>
      <w:r>
        <w:rPr>
          <w:rFonts w:ascii="Times New Roman;serif" w:hAnsi="Times New Roman;serif"/>
          <w:b/>
          <w:i/>
          <w:color w:val="000000"/>
          <w:sz w:val="20"/>
        </w:rPr>
        <w:t>Debt Securities</w:t>
      </w:r>
      <w:r>
        <w:rPr>
          <w:color w:val="000000"/>
        </w:rPr>
        <w:t>”</w:t>
      </w:r>
      <w:r>
        <w:rPr>
          <w:rFonts w:ascii="Times New Roman;serif" w:hAnsi="Times New Roman;serif"/>
          <w:b w:val="false"/>
          <w:color w:val="000000"/>
          <w:sz w:val="20"/>
        </w:rPr>
        <w:t>), which may be issued pursuant to an indenture to be dated on or about the date of the first issuance of Debt Securities thereunder, by and between a trustee, to be selected by the Company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and the Company, in the form filed as Exhibit 4.3 (the “</w:t>
      </w:r>
      <w:r>
        <w:rPr>
          <w:rFonts w:ascii="Times New Roman;serif" w:hAnsi="Times New Roman;serif"/>
          <w:b/>
          <w:i/>
          <w:color w:val="000000"/>
          <w:sz w:val="20"/>
        </w:rPr>
        <w:t>Indenture</w:t>
      </w:r>
      <w:r>
        <w:rPr>
          <w:color w:val="000000"/>
        </w:rPr>
        <w:t>”</w:t>
      </w:r>
      <w:r>
        <w:rPr>
          <w:rFonts w:ascii="Times New Roman;serif" w:hAnsi="Times New Roman;serif"/>
          <w:b w:val="false"/>
          <w:color w:val="000000"/>
          <w:sz w:val="20"/>
        </w:rPr>
        <w:t>) to the Registration Statement and one or more indentures supplemental thereto with respect to any particular series of Debt Securities;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warrants to purchase Common Stock, Preferred Stock or Debt Securities (the “</w:t>
      </w:r>
      <w:r>
        <w:rPr>
          <w:rFonts w:ascii="Times New Roman;serif" w:hAnsi="Times New Roman;serif"/>
          <w:b/>
          <w:i/>
          <w:color w:val="000000"/>
          <w:sz w:val="20"/>
        </w:rPr>
        <w:t>Warrants</w:t>
      </w:r>
      <w:r>
        <w:rPr>
          <w:color w:val="000000"/>
        </w:rPr>
        <w:t>”</w:t>
      </w:r>
      <w:r>
        <w:rPr>
          <w:rFonts w:ascii="Times New Roman;serif" w:hAnsi="Times New Roman;serif"/>
          <w:b w:val="false"/>
          <w:color w:val="000000"/>
          <w:sz w:val="20"/>
        </w:rPr>
        <w:t>), which may be issued under one or more warrant agreements, to be dated on or about the date of the first issuance of the Warrants thereunder (each, a “</w:t>
      </w:r>
      <w:r>
        <w:rPr>
          <w:rFonts w:ascii="Times New Roman;serif" w:hAnsi="Times New Roman;serif"/>
          <w:b/>
          <w:i/>
          <w:color w:val="000000"/>
          <w:sz w:val="20"/>
        </w:rPr>
        <w:t>Warrant Agreement</w:t>
      </w:r>
      <w:r>
        <w:rPr>
          <w:color w:val="000000"/>
        </w:rPr>
        <w:t>”</w:t>
      </w:r>
      <w:r>
        <w:rPr>
          <w:rFonts w:ascii="Times New Roman;serif" w:hAnsi="Times New Roman;serif"/>
          <w:b w:val="false"/>
          <w:color w:val="000000"/>
          <w:sz w:val="20"/>
        </w:rPr>
        <w:t>), by and between a warrant agent to be selected by the Company and the Company;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units comprised of shares of Common Stock, shares of Preferred Stock, Debt Securities and Warrants in any combination in one or more series (the “</w:t>
      </w:r>
      <w:r>
        <w:rPr>
          <w:rFonts w:ascii="Times New Roman;serif" w:hAnsi="Times New Roman;serif"/>
          <w:b/>
          <w:i/>
          <w:color w:val="000000"/>
          <w:sz w:val="20"/>
        </w:rPr>
        <w:t>Units</w:t>
      </w:r>
      <w:r>
        <w:rPr>
          <w:color w:val="000000"/>
        </w:rPr>
        <w:t>”</w:t>
      </w:r>
      <w:r>
        <w:rPr>
          <w:rFonts w:ascii="Times New Roman;serif" w:hAnsi="Times New Roman;serif"/>
          <w:b w:val="false"/>
          <w:color w:val="000000"/>
          <w:sz w:val="20"/>
        </w:rPr>
        <w:t>) which may be issued under unit agreements, to be dated on or about the date of the first issuance of the applicable Units thereunder (each, a “</w:t>
      </w:r>
      <w:r>
        <w:rPr>
          <w:rFonts w:ascii="Times New Roman;serif" w:hAnsi="Times New Roman;serif"/>
          <w:b/>
          <w:i/>
          <w:color w:val="000000"/>
          <w:sz w:val="20"/>
        </w:rPr>
        <w:t>Unit Agreement</w:t>
      </w:r>
      <w:r>
        <w:rPr>
          <w:color w:val="000000"/>
        </w:rPr>
        <w:t>”</w:t>
      </w:r>
      <w:r>
        <w:rPr>
          <w:rFonts w:ascii="Times New Roman;serif" w:hAnsi="Times New Roman;serif"/>
          <w:b w:val="false"/>
          <w:color w:val="000000"/>
          <w:sz w:val="20"/>
        </w:rPr>
        <w:t>), by and between a unit agent to be selected by the Company and the Company.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The Common Stock, the Preferred Stock, the Debt Securities, the Warrants, and the Units, plus any additional Common Stock, Preferred Stock, Debt Securities, Warrants and Units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serif" w:hAnsi="Times New Roman;serif"/>
          <w:b/>
          <w:i/>
          <w:color w:val="000000"/>
          <w:sz w:val="20"/>
        </w:rPr>
        <w:t>Securities</w:t>
      </w:r>
      <w:r>
        <w:rPr>
          <w:rFonts w:ascii="Times New Roman;serif" w:hAnsi="Times New Roman;serif"/>
          <w:b w:val="false"/>
          <w:color w:val="000000"/>
          <w:sz w:val="20"/>
        </w:rPr>
        <w:t>.” The Securities are being registered for offer and sale from time to time pursuant to Rule 415 under the Securities Act.</w:t>
      </w:r>
    </w:p>
    <w:p>
      <w:pPr>
        <w:pStyle w:val="TextBody"/>
        <w:bidi w:val="0"/>
        <w:spacing w:before="0" w:after="0"/>
        <w:jc w:val="left"/>
        <w:rPr/>
      </w:pPr>
      <w:r>
        <w:rPr/>
      </w:r>
    </w:p>
    <w:p>
      <w:pPr>
        <w:pStyle w:val="TextBody"/>
        <w:bidi w:val="0"/>
        <w:spacing w:lineRule="auto" w:line="26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opinion, we have examined and relied upon such documents and such matters of fact and law as we deem necessary to render the opinions contained herein. We have assumed the genuineness of all signatures, the legal capacity of all natural persons to execute and deliver documents, the authenticity of all documents submitted to us as originals, the conformity to originals of all documents submitted to us as copies, the accuracy, completeness and authenticity of certificates of public officials, the due authorization, execution and delivery of all documents by all persons other than the Company where execution and delivery are prerequisites to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effectiveness thereof. As to certain factual matters, we have relied upon a certificate of an officer of the Company and have not independently verified such matters.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For purposes of the opinions set forth below, without limiting any other exceptions or qualifications set forth herein, we have assumed that (i) the Registration Statement, and any amendments thereto (including post-effective amendments), will have become effective and remain effective under the Securities Act at the time of issuance and sale of the Securities; (ii) a Prospectus Supplement will have been filed with the Commission describing the Securities offered thereby; (iii) the Securities will be issued and sold in compliance with applicable U.S. federal and state securities laws and in the manner stated in the Registration Statement and the applicable Prospectus Supplement; (iv) a definitive purchase, underwriting or similar agreement with respect to any Securities offered will have been duly authorized and validly executed and delivered by the Company and the other parties thereto; (v) each of the Debt Securities, Warrants and Units, and the Indentures, Warrant Agreements, Unit Agreements and other agreements governing Securities offered pursuant to the Registration Statement will be governed by the internal law of New York; and (vi)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as the case may be, then outstanding, will not exceed the total number of authorized shares of Common Stock or Preferred Stock, as applicable, then available for issuance under the Company’s certificate of incorporation as then in effect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the opinions set forth below, we refer to the following as the “Future Approval and Issuance” of Securities: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with respect to any of the Securities, (a) the Board of Directors of the Company or a duly constituted and acting committee thereof (such Board of Directors or committee being hereinafter referred to as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has taken all necessary corporate action to approve the amount, issuance and terms of the offering of such Securities (the “</w:t>
      </w:r>
      <w:r>
        <w:rPr>
          <w:rFonts w:ascii="Times New Roman;serif" w:hAnsi="Times New Roman;serif"/>
          <w:b/>
          <w:i/>
          <w:color w:val="000000"/>
          <w:sz w:val="20"/>
        </w:rPr>
        <w:t>Approval</w:t>
      </w:r>
      <w:r>
        <w:rPr>
          <w:color w:val="000000"/>
        </w:rPr>
        <w:t>”</w:t>
      </w:r>
      <w:r>
        <w:rPr>
          <w:rFonts w:ascii="Times New Roman;serif" w:hAnsi="Times New Roman;serif"/>
          <w:b w:val="false"/>
          <w:color w:val="000000"/>
          <w:sz w:val="20"/>
        </w:rPr>
        <w:t>) and (b) the issuance of such Securities in accordance with the Approval upon the receipt by the Company of the consideration (which, in the case of shares of Common Stock or Preferred Stock, is not less than the par value of such shares) to be paid in accordance with the Approval, including upon the exercise of any Warrants therefor;</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with respect to Preferred Stock, (a) the establishment of the terms of such Preferred Stock by the Company in conformity with the Certificate of Incorporation and applicable law and (b) the execution, acknowledgement and filing with the Delaware Secretary of State, and the effectiveness of, a certificate of designations to the Certificate of Incorporation setting forth the terms of such Preferred Stock in accordance with the Certificate of Incorporation and applicable law;</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with respect to Debt Securities, (a) the Trustee is qualified to act as Trustee under the Indenture and the Company has filed a Form T-1 for the Trustee with the Commission; (b) the Indenture has been duly qualified under the Trust Indenture Act of 1939, as amended; (c) the authorization, approval, execution and delivery of the Indenture or a supplemental indenture relating to such Securities by the Company and the Trustee and/or (d) the establishment of the terms of such Securities by the Company in conformity with the Indenture or supplemental indenture and applicable law, and (e) the execution, authentication and issuance of such Securities in accordance with the Indenture or supplemental indenture and applicable law;</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with respect to Warrants,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with respect to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the foregoing, and subject to the additional qualifications set forth below, we are of the opinion that: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1.Upon the Future Approval and Issuance of shares of Common Stock, such shares of Common Stock will be validly issued, fully paid and nonassessable.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2.Upon the Future Approval and Issuance of shares of Preferred Stock, such shares of Preferred Stock will be validly issued, fully paid and nonassessable.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3.Upon the Future Approval and Issuance of Debt Securities, such Debt Securities will be valid and binding obligations of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4.Upon the Future Approval and Issuance of Warrants, such Warrants will be valid and binding obligations of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5.Upon the Future Approval and Issuance of Units, such Units will be valid and binding obligations of the Company.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opinions expressed above are subject to bankruptcy, insolvency, fraudulent transfer, reorganization, moratorium and other similar laws of general application affecting the rights and remedies of creditors and to general principles of equity.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opinion herein is expressed solely with respect to the General Corporation Law of the State of Delaware and, as to the enforceability of the Debt Securities, the Warrants and the Units, the laws of the State of New York. We are not rendering any opinion as to compliance with any federal or state antifraud law, rule or regulation relating to securities, or to the sale or issuance thereof. The opinion expressed above is as of the date hereof only, and we express no opinion as to, and assume no responsibility for, the effect of any fact or circumstance occurring, or of which we learn, subsequent to the date of this opinion letter.</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hereby consent to the reference to our firm under the caption “Legal Matters” in the prospectus included in the Registration Statement and to the filing of this opinion as an exhibit to the Registration Statement. In giving such consent, we do not hereby admit that we are in the category of persons whose consent is required under Section 7 of the Securities Act or the rules and regulations of the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684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6840"/>
        <w:jc w:val="both"/>
        <w:rPr>
          <w:rFonts w:ascii="Times New Roman;serif" w:hAnsi="Times New Roman;serif"/>
          <w:b w:val="false"/>
          <w:color w:val="000000"/>
          <w:sz w:val="20"/>
        </w:rPr>
      </w:pPr>
      <w:r>
        <w:rPr>
          <w:rFonts w:ascii="Times New Roman;serif" w:hAnsi="Times New Roman;serif"/>
          <w:b w:val="false"/>
          <w:color w:val="000000"/>
          <w:sz w:val="20"/>
        </w:rPr>
        <w:t>/s/ Baker &amp; Hostetler LLP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reference to our firm under the caption "Experts" in the Registration Statement (Form S-3) and related Prospectus of Noodles &amp; Company for the registration of up to $100,000,000 of its common stock, preferred stock, debt securities, warrants and units, and to the incorporation by reference therein of our report dated March 7, 2025 (except for the consolidated balance sheet, consolidated statements of operations, consolidated statements of stockholders’ equity (deficit), Note 8, 9, and 10, as to which the date is March 25, 2026), with respect to the consolidated financial statements of Noodles &amp; Company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Denver, Colorado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August 21,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issued our report dated March 25, 2026, with respect to the consolidated financial statements of Noodles &amp; Company included in the Annual Report on Form 10-K for the period ended December 30, 2025, which is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Denver, Colorado</w:t>
      </w:r>
    </w:p>
    <w:p>
      <w:pPr>
        <w:pStyle w:val="TextBody"/>
        <w:bidi w:val="0"/>
        <w:spacing w:lineRule="auto" w:line="27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S-3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NOODLES &amp; COMPANY</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Table 1: Newly Registered and Carry Forward Securities </w:t>
      </w:r>
    </w:p>
    <w:tbl>
      <w:tblPr>
        <w:tblW w:w="10205" w:type="dxa"/>
        <w:jc w:val="left"/>
        <w:tblInd w:w="0" w:type="dxa"/>
        <w:tblLayout w:type="fixed"/>
        <w:tblCellMar>
          <w:top w:w="28" w:type="dxa"/>
          <w:left w:w="28" w:type="dxa"/>
          <w:bottom w:w="28" w:type="dxa"/>
          <w:right w:w="28" w:type="dxa"/>
        </w:tblCellMar>
      </w:tblPr>
      <w:tblGrid>
        <w:gridCol w:w="453"/>
        <w:gridCol w:w="343"/>
        <w:gridCol w:w="217"/>
        <w:gridCol w:w="449"/>
        <w:gridCol w:w="416"/>
        <w:gridCol w:w="347"/>
        <w:gridCol w:w="459"/>
        <w:gridCol w:w="413"/>
        <w:gridCol w:w="415"/>
        <w:gridCol w:w="473"/>
        <w:gridCol w:w="473"/>
        <w:gridCol w:w="474"/>
        <w:gridCol w:w="337"/>
        <w:gridCol w:w="337"/>
        <w:gridCol w:w="339"/>
        <w:gridCol w:w="354"/>
        <w:gridCol w:w="354"/>
        <w:gridCol w:w="355"/>
        <w:gridCol w:w="384"/>
        <w:gridCol w:w="384"/>
        <w:gridCol w:w="341"/>
        <w:gridCol w:w="319"/>
        <w:gridCol w:w="319"/>
        <w:gridCol w:w="323"/>
        <w:gridCol w:w="326"/>
        <w:gridCol w:w="326"/>
        <w:gridCol w:w="475"/>
      </w:tblGrid>
      <w:tr>
        <w:trPr/>
        <w:tc>
          <w:tcPr>
            <w:tcW w:w="4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12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or Carry Forward Rule</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10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Proposed Maximum</w:t>
              <w:br/>
              <w:t>Offering Price Per Unit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w:t>
              <w:br/>
              <w:t>Aggregate</w:t>
              <w:br/>
              <w:t>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of</w:t>
              <w:br/>
              <w:t>Registration Fee</w:t>
            </w:r>
          </w:p>
        </w:tc>
      </w:tr>
      <w:tr>
        <w:trPr/>
        <w:tc>
          <w:tcPr>
            <w:tcW w:w="1013"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287"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287"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$0.01 per share</w:t>
            </w:r>
          </w:p>
        </w:tc>
        <w:tc>
          <w:tcPr>
            <w:tcW w:w="14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1287"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14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87"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w:t>
            </w:r>
          </w:p>
        </w:tc>
        <w:tc>
          <w:tcPr>
            <w:tcW w:w="14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87"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Units</w:t>
            </w:r>
          </w:p>
        </w:tc>
        <w:tc>
          <w:tcPr>
            <w:tcW w:w="14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12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109"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$100,000,000</w:t>
            </w:r>
          </w:p>
        </w:tc>
        <w:tc>
          <w:tcPr>
            <w:tcW w:w="961" w:type="dxa"/>
            <w:gridSpan w:val="3"/>
            <w:tcBorders>
              <w:top w:val="single" w:sz="8" w:space="0" w:color="000000"/>
              <w:left w:val="single" w:sz="8" w:space="0" w:color="000000"/>
            </w:tcBorders>
            <w:tcMar>
              <w:top w:w="30" w:type="dxa"/>
              <w:left w:w="5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0.00013810</w:t>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$13,810.00</w:t>
            </w:r>
            <w:r>
              <w:rPr>
                <w:color w:val="000000"/>
              </w:rPr>
              <w:t xml:space="preserve"> </w:t>
            </w:r>
            <w:r>
              <w:rPr>
                <w:rFonts w:ascii="Times New Roman;serif" w:hAnsi="Times New Roman;serif"/>
                <w:b w:val="false"/>
                <w:color w:val="000000"/>
                <w:sz w:val="10"/>
              </w:rPr>
              <w:t>(3)</w:t>
            </w:r>
          </w:p>
        </w:tc>
      </w:tr>
      <w:tr>
        <w:trPr/>
        <w:tc>
          <w:tcPr>
            <w:tcW w:w="1013" w:type="dxa"/>
            <w:gridSpan w:val="3"/>
            <w:tcBorders>
              <w:top w:val="single" w:sz="8" w:space="0" w:color="000000"/>
              <w:left w:val="single" w:sz="8" w:space="0" w:color="000000"/>
              <w:bottom w:val="single" w:sz="8" w:space="0" w:color="000000"/>
            </w:tcBorders>
            <w:tcMar>
              <w:top w:w="30" w:type="dxa"/>
              <w:left w:w="56"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Previously Paid</w:t>
            </w:r>
          </w:p>
        </w:tc>
        <w:tc>
          <w:tcPr>
            <w:tcW w:w="12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5945" w:type="dxa"/>
            <w:gridSpan w:val="15"/>
            <w:tcBorders>
              <w:left w:val="single" w:sz="8" w:space="0" w:color="000000"/>
              <w:bottom w:val="single" w:sz="8" w:space="0" w:color="000000"/>
              <w:right w:val="single" w:sz="8" w:space="0" w:color="000000"/>
            </w:tcBorders>
            <w:tcMar>
              <w:top w:w="0" w:type="dxa"/>
              <w:left w:w="52" w:type="dxa"/>
              <w:bottom w:w="3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Offering Amounts</w:t>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ind w:left="0" w:right="0" w:hanging="240"/>
              <w:jc w:val="center"/>
              <w:rPr/>
            </w:pPr>
            <w:r>
              <w:rPr/>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$100,000,000</w:t>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$13,810.00</w:t>
            </w:r>
          </w:p>
        </w:tc>
      </w:tr>
      <w:tr>
        <w:trPr/>
        <w:tc>
          <w:tcPr>
            <w:tcW w:w="5945" w:type="dxa"/>
            <w:gridSpan w:val="15"/>
            <w:tcBorders>
              <w:top w:val="single" w:sz="8" w:space="0" w:color="000000"/>
              <w:left w:val="single" w:sz="8" w:space="0" w:color="000000"/>
              <w:bottom w:val="single" w:sz="8" w:space="0" w:color="000000"/>
              <w:right w:val="single" w:sz="8" w:space="0" w:color="000000"/>
            </w:tcBorders>
            <w:tcMar>
              <w:top w:w="30" w:type="dxa"/>
              <w:left w:w="52" w:type="dxa"/>
              <w:bottom w:w="3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Fees Previously Paid</w:t>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40"/>
              <w:jc w:val="center"/>
              <w:rPr>
                <w:color w:val="000000"/>
              </w:rPr>
            </w:pPr>
            <w:r>
              <w:rPr>
                <w:color w:val="000000"/>
              </w:rPr>
              <w:t>—</w:t>
            </w:r>
          </w:p>
        </w:tc>
      </w:tr>
      <w:tr>
        <w:trPr/>
        <w:tc>
          <w:tcPr>
            <w:tcW w:w="594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Fee Offsets</w:t>
            </w:r>
          </w:p>
        </w:tc>
        <w:tc>
          <w:tcPr>
            <w:tcW w:w="10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ind w:left="0" w:right="0" w:hanging="240"/>
              <w:jc w:val="center"/>
              <w:rPr/>
            </w:pPr>
            <w:r>
              <w:rPr/>
            </w:r>
          </w:p>
        </w:tc>
        <w:tc>
          <w:tcPr>
            <w:tcW w:w="11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ind w:left="0" w:right="0" w:hanging="240"/>
              <w:jc w:val="center"/>
              <w:rPr/>
            </w:pPr>
            <w:r>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40"/>
              <w:jc w:val="center"/>
              <w:rPr>
                <w:color w:val="000000"/>
              </w:rPr>
            </w:pPr>
            <w:r>
              <w:rPr>
                <w:color w:val="000000"/>
              </w:rPr>
              <w:t>—</w:t>
            </w:r>
          </w:p>
        </w:tc>
      </w:tr>
      <w:tr>
        <w:trPr/>
        <w:tc>
          <w:tcPr>
            <w:tcW w:w="5945" w:type="dxa"/>
            <w:gridSpan w:val="15"/>
            <w:tcBorders>
              <w:top w:val="single" w:sz="8" w:space="0" w:color="000000"/>
              <w:left w:val="single" w:sz="8" w:space="0" w:color="000000"/>
              <w:bottom w:val="single" w:sz="8" w:space="0" w:color="000000"/>
              <w:right w:val="single" w:sz="8" w:space="0" w:color="000000"/>
            </w:tcBorders>
            <w:tcMar>
              <w:top w:w="30" w:type="dxa"/>
              <w:left w:w="52" w:type="dxa"/>
              <w:bottom w:w="3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Fee Due</w:t>
            </w:r>
          </w:p>
        </w:tc>
        <w:tc>
          <w:tcPr>
            <w:tcW w:w="106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ind w:left="0" w:right="0" w:hanging="240"/>
              <w:jc w:val="center"/>
              <w:rPr/>
            </w:pPr>
            <w:r>
              <w:rPr/>
            </w:r>
          </w:p>
        </w:tc>
        <w:tc>
          <w:tcPr>
            <w:tcW w:w="110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ind w:left="0" w:right="0" w:hanging="240"/>
              <w:jc w:val="center"/>
              <w:rPr/>
            </w:pPr>
            <w:r>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ind w:left="0" w:right="0" w:hanging="240"/>
              <w:jc w:val="center"/>
              <w:rPr/>
            </w:pPr>
            <w:r>
              <w:rPr/>
            </w:r>
          </w:p>
        </w:tc>
        <w:tc>
          <w:tcPr>
            <w:tcW w:w="112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$13,810.00</w:t>
            </w:r>
          </w:p>
        </w:tc>
      </w:tr>
    </w:tbl>
    <w:p>
      <w:pPr>
        <w:pStyle w:val="TextBody"/>
        <w:bidi w:val="0"/>
        <w:spacing w:lineRule="auto" w:line="26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Separate consideration may or may not be received for securities that are issuable upon the conversion or exercise of, or in exchange for, other securities offered hereby. </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There are being registered hereunder such indeterminate number of shares of Class A common stock and preferred stock, such indeterminate principal amount of debt securities, such indeterminate number of warrants to purchase Class A common stock, preferred stock and/or debt securities, and such indeterminate number of units to be sold by the Registrant from time to time at unspecified prices which shall have an aggregate initial offering price not to exceed $100,000,000.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 The securities registered for sale also include such indeterminate number of shares of Class A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pStyle w:val="TextBody"/>
        <w:bidi w:val="0"/>
        <w:spacing w:lineRule="auto" w:line="26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(2)    Pursuant to Instruction 2.A.iii.b. to the Calculation of Filing Fee Tables and Related Disclosure on Item 16(b) of Form S-3 under the Securities Act, the proposed maximum aggregate offering price per class of security is omitted, the security type “Unallocated (Universal) Shelf” is included and the maximum aggregate offering price for all of the classes of securities is provided on a combined basis. </w:t>
      </w:r>
    </w:p>
    <w:p>
      <w:pPr>
        <w:pStyle w:val="TextBody"/>
        <w:bidi w:val="0"/>
        <w:spacing w:lineRule="auto" w:line="26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    Calculated pursuant to Rule 457(o) under the Securities Act based on the maximum aggregate offering price.</w:t>
      </w:r>
    </w:p>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47798</Words>
  <Characters>245507</Characters>
  <CharactersWithSpaces>291866</CharactersWithSpaces>
  <Paragraphs>1647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