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9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SCHEDULE 14A INFORMATION</w:t>
      </w:r>
    </w:p>
    <w:p>
      <w:pPr>
        <w:spacing w:after="0" w:line="13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02" w:lineRule="exact"/>
        <w:rPr>
          <w:sz w:val="24"/>
          <w:szCs w:val="24"/>
          <w:color w:val="auto"/>
        </w:rPr>
      </w:pPr>
    </w:p>
    <w:p>
      <w:pPr>
        <w:spacing w:after="0" w:line="184" w:lineRule="exact"/>
        <w:tabs>
          <w:tab w:leader="none" w:pos="28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329" w:lineRule="exact"/>
        <w:rPr>
          <w:sz w:val="24"/>
          <w:szCs w:val="24"/>
          <w:color w:val="auto"/>
        </w:rPr>
      </w:pPr>
    </w:p>
    <w:p>
      <w:pPr>
        <w:ind w:left="960" w:hanging="925"/>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9" w:lineRule="exact"/>
        <w:rPr>
          <w:rFonts w:ascii="MS PGothic" w:cs="MS PGothic" w:eastAsia="MS PGothic" w:hAnsi="MS PGothic"/>
          <w:sz w:val="16"/>
          <w:szCs w:val="16"/>
          <w:color w:val="auto"/>
        </w:rPr>
      </w:pPr>
    </w:p>
    <w:p>
      <w:pPr>
        <w:ind w:left="960" w:hanging="925"/>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63" w:lineRule="exact"/>
        <w:rPr>
          <w:sz w:val="24"/>
          <w:szCs w:val="24"/>
          <w:color w:val="auto"/>
        </w:rPr>
      </w:pPr>
    </w:p>
    <w:p>
      <w:pPr>
        <w:ind w:left="960" w:hanging="925"/>
        <w:spacing w:after="0"/>
        <w:tabs>
          <w:tab w:leader="none" w:pos="9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86" w:lineRule="exact"/>
        <w:rPr>
          <w:sz w:val="24"/>
          <w:szCs w:val="24"/>
          <w:color w:val="auto"/>
        </w:rPr>
      </w:pPr>
    </w:p>
    <w:p>
      <w:pPr>
        <w:ind w:left="960" w:hanging="925"/>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6" w:lineRule="exact"/>
        <w:rPr>
          <w:rFonts w:ascii="MS PGothic" w:cs="MS PGothic" w:eastAsia="MS PGothic" w:hAnsi="MS PGothic"/>
          <w:sz w:val="16"/>
          <w:szCs w:val="16"/>
          <w:color w:val="auto"/>
        </w:rPr>
      </w:pPr>
    </w:p>
    <w:p>
      <w:pPr>
        <w:ind w:left="960" w:hanging="925"/>
        <w:spacing w:after="0"/>
        <w:tabs>
          <w:tab w:leader="none" w:pos="9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Noodles &amp; Company</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38" w:lineRule="exact"/>
        <w:rPr>
          <w:sz w:val="24"/>
          <w:szCs w:val="24"/>
          <w:color w:val="auto"/>
        </w:rPr>
      </w:pPr>
    </w:p>
    <w:p>
      <w:pPr>
        <w:ind w:left="40"/>
        <w:spacing w:after="0"/>
        <w:rPr>
          <w:sz w:val="20"/>
          <w:szCs w:val="20"/>
          <w:color w:val="auto"/>
        </w:rPr>
      </w:pPr>
      <w:r>
        <w:rPr>
          <w:rFonts w:ascii="Arial" w:cs="Arial" w:eastAsia="Arial" w:hAnsi="Arial"/>
          <w:sz w:val="16"/>
          <w:szCs w:val="16"/>
          <w:color w:val="auto"/>
        </w:rPr>
        <w:t>Payment of Filing Fee (Check the appropriate box):</w:t>
      </w:r>
    </w:p>
    <w:p>
      <w:pPr>
        <w:spacing w:after="0" w:line="100" w:lineRule="exact"/>
        <w:rPr>
          <w:sz w:val="24"/>
          <w:szCs w:val="24"/>
          <w:color w:val="auto"/>
        </w:rPr>
      </w:pPr>
    </w:p>
    <w:p>
      <w:pPr>
        <w:ind w:left="960" w:hanging="925"/>
        <w:spacing w:after="0"/>
        <w:tabs>
          <w:tab w:leader="none" w:pos="9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960" w:hanging="925"/>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86" w:lineRule="exact"/>
        <w:rPr>
          <w:rFonts w:ascii="MS PGothic" w:cs="MS PGothic" w:eastAsia="MS PGothic" w:hAnsi="MS PGothic"/>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4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w:t>
      </w:r>
    </w:p>
    <w:p>
      <w:pPr>
        <w:spacing w:after="0" w:line="45"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and state how it was determined):</w:t>
      </w:r>
    </w:p>
    <w:p>
      <w:pPr>
        <w:spacing w:after="0" w:line="352"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69" w:lineRule="exact"/>
        <w:rPr>
          <w:rFonts w:ascii="Arial" w:cs="Arial" w:eastAsia="Arial" w:hAnsi="Arial"/>
          <w:sz w:val="16"/>
          <w:szCs w:val="16"/>
          <w:color w:val="auto"/>
        </w:rPr>
      </w:pPr>
    </w:p>
    <w:p>
      <w:pPr>
        <w:ind w:left="960" w:hanging="925"/>
        <w:spacing w:after="0"/>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59" w:lineRule="exact"/>
        <w:rPr>
          <w:rFonts w:ascii="MS PGothic" w:cs="MS PGothic" w:eastAsia="MS PGothic" w:hAnsi="MS PGothic"/>
          <w:sz w:val="16"/>
          <w:szCs w:val="16"/>
          <w:color w:val="auto"/>
        </w:rPr>
      </w:pPr>
    </w:p>
    <w:p>
      <w:pPr>
        <w:ind w:left="960" w:right="120" w:hanging="925"/>
        <w:spacing w:after="0" w:line="293" w:lineRule="auto"/>
        <w:tabs>
          <w:tab w:leader="none" w:pos="9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 w:lineRule="exact"/>
        <w:rPr>
          <w:rFonts w:ascii="MS PGothic" w:cs="MS PGothic" w:eastAsia="MS PGothic" w:hAnsi="MS PGothic"/>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56" w:lineRule="exact"/>
        <w:rPr>
          <w:rFonts w:ascii="Arial" w:cs="Arial" w:eastAsia="Arial" w:hAnsi="Arial"/>
          <w:sz w:val="16"/>
          <w:szCs w:val="16"/>
          <w:color w:val="auto"/>
        </w:rPr>
      </w:pPr>
    </w:p>
    <w:p>
      <w:pPr>
        <w:ind w:left="960" w:hanging="249"/>
        <w:spacing w:after="0"/>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198120</wp:posOffset>
            </wp:positionV>
            <wp:extent cx="6646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-144145</wp:posOffset>
            </wp:positionV>
            <wp:extent cx="6646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-487045</wp:posOffset>
            </wp:positionV>
            <wp:extent cx="6646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-830580</wp:posOffset>
            </wp:positionV>
            <wp:extent cx="66465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-1628140</wp:posOffset>
            </wp:positionV>
            <wp:extent cx="66465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-1979295</wp:posOffset>
            </wp:positionV>
            <wp:extent cx="6646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-2322195</wp:posOffset>
            </wp:positionV>
            <wp:extent cx="6646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-2785745</wp:posOffset>
            </wp:positionV>
            <wp:extent cx="6646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-3128645</wp:posOffset>
            </wp:positionV>
            <wp:extent cx="6646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4654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721360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635635</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546735</wp:posOffset>
            </wp:positionV>
            <wp:extent cx="2238375" cy="875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3837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19,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3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are cordially invited to attend the 2014 Annual Meeting of Stockholders of Noodles &amp; Company at The Westin Westminster Hotel, 10600 Westminster Boulevard, Westminster, Colorado, on April 30, 2014, at 2:00 p.m. local time.</w:t>
      </w:r>
    </w:p>
    <w:p>
      <w:pPr>
        <w:spacing w:after="0" w:line="3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matters expected to be acted upon at the meeting are described in detail in the accompanying Notice of Annual Meeting of Stockholders and Proxy Statement.</w:t>
      </w:r>
    </w:p>
    <w:p>
      <w:pPr>
        <w:spacing w:after="0" w:line="3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Your vote is important. Please cast your vote as soon as possible over the Internet, by telephone, or by completing and returning the enclosed proxy card in the postage-prepaid envelope so that your shares are represented. Your vote will mean that you are represented at the Annual Meeting regardless of whether or not you attend in person. Returning the proxy does not deprive you of your right to attend the meeting and to vote your shares in person.</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seeing you at the meeting.</w:t>
      </w:r>
    </w:p>
    <w:p>
      <w:pPr>
        <w:spacing w:after="0" w:line="38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152400</wp:posOffset>
            </wp:positionV>
            <wp:extent cx="152654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65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Kevin Reddy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NOODLES &amp;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520 ZANG STREET, SUITE 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BROOMFIELD, COLORADO 80021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NOTICE IS HEREBY GIVEN that the 2014 Annual Meeting of Stockholders of Noodles &amp; Company will be held at The Westin Westminster Hotel, 10600 Westminster Boulevard, Westminster, Colorado, on April 30, 2014, at 2:00 p.m. local time, for the following purposes:</w:t>
      </w:r>
    </w:p>
    <w:p>
      <w:pPr>
        <w:spacing w:after="0" w:line="116" w:lineRule="exact"/>
        <w:rPr>
          <w:sz w:val="20"/>
          <w:szCs w:val="20"/>
          <w:color w:val="auto"/>
        </w:rPr>
      </w:pPr>
    </w:p>
    <w:p>
      <w:pPr>
        <w:ind w:left="660" w:right="20" w:hanging="4"/>
        <w:spacing w:after="0" w:line="277" w:lineRule="auto"/>
        <w:tabs>
          <w:tab w:leader="none" w:pos="841"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two directors named in the Proxy Statement as Class I directors of Noodles &amp; Company, each to serve for three years and until his or her successor has been elected and qualified, or until his or her earlier death, resignation or removal.</w:t>
      </w:r>
    </w:p>
    <w:p>
      <w:pPr>
        <w:spacing w:after="0" w:line="224" w:lineRule="exact"/>
        <w:rPr>
          <w:rFonts w:ascii="Arial" w:cs="Arial" w:eastAsia="Arial" w:hAnsi="Arial"/>
          <w:sz w:val="18"/>
          <w:szCs w:val="18"/>
          <w:color w:val="auto"/>
        </w:rPr>
      </w:pPr>
    </w:p>
    <w:p>
      <w:pPr>
        <w:ind w:left="840" w:hanging="184"/>
        <w:spacing w:after="0"/>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year ending December 30, 2014.</w:t>
      </w:r>
    </w:p>
    <w:p>
      <w:pPr>
        <w:spacing w:after="0" w:line="302" w:lineRule="exact"/>
        <w:rPr>
          <w:rFonts w:ascii="Arial" w:cs="Arial" w:eastAsia="Arial" w:hAnsi="Arial"/>
          <w:sz w:val="16"/>
          <w:szCs w:val="16"/>
          <w:color w:val="auto"/>
        </w:rPr>
      </w:pPr>
    </w:p>
    <w:p>
      <w:pPr>
        <w:ind w:left="840" w:hanging="18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Beginning on March 19, 2014, we sent to some of our stockholders a Notice of Internet Availability of Proxy Materials with instructions on how to access our proxy materials over the Internet and how to vote. If you did not receive such a Notice, you may elect to receive future notices, proxy materials and annual reports electronically through the Internet by following the instructions in this Proxy Statement. Only stockholders of record at the close of business on March 11, 2014 are entitled to notice of, and to vote at,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83185</wp:posOffset>
            </wp:positionV>
            <wp:extent cx="1989455"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945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Paul A. Strasen,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General Counsel &amp; Secretary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Broomfield,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2014</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Whether or not you expect to attend the meeting, please vote via the Internet, by telephone, or complete, date, sign and promptly return the accompanying proxy in the enclosed postage-paid envelope so that your shares may be represented at the meeting.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STOCKHOLDER MEETING TO BE HELD ON APRIL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STATEMENT AND THE ANNUAL REPORT ARE AVAILABLE AT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www.proxypush.com/ndls</w:t>
      </w:r>
    </w:p>
    <w:p>
      <w:pPr>
        <w:sectPr>
          <w:pgSz w:w="11900" w:h="16838" w:orient="portrait"/>
          <w:cols w:equalWidth="0" w:num="1">
            <w:col w:w="11420"/>
          </w:cols>
          <w:pgMar w:left="240" w:top="125" w:right="239" w:bottom="1440" w:gutter="0" w:footer="0" w:header="0"/>
        </w:sectPr>
      </w:pPr>
    </w:p>
    <w:bookmarkStart w:id="3" w:name="page4"/>
    <w:bookmarkEnd w:id="3"/>
    <w:p>
      <w:pPr>
        <w:jc w:val="center"/>
        <w:ind w:right="-599"/>
        <w:spacing w:after="0"/>
        <w:rPr>
          <w:sz w:val="20"/>
          <w:szCs w:val="20"/>
          <w:color w:val="auto"/>
        </w:rPr>
      </w:pPr>
      <w:r>
        <w:rPr>
          <w:rFonts w:ascii="Arial" w:cs="Arial" w:eastAsia="Arial" w:hAnsi="Arial"/>
          <w:sz w:val="25"/>
          <w:szCs w:val="25"/>
          <w:b w:val="1"/>
          <w:bCs w:val="1"/>
          <w:color w:val="auto"/>
        </w:rPr>
        <w:t>Noodles &amp; Company</w:t>
      </w:r>
    </w:p>
    <w:p>
      <w:pPr>
        <w:spacing w:after="0" w:line="8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To Be Held on April 30, 2014</w:t>
      </w:r>
    </w:p>
    <w:p>
      <w:pPr>
        <w:spacing w:after="0" w:line="58"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TABLE OF CONTENTS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0"/>
              </w:rPr>
              <w:t>Page</w:t>
            </w:r>
          </w:p>
        </w:tc>
      </w:tr>
      <w:tr>
        <w:trPr>
          <w:trHeight w:val="237"/>
        </w:trPr>
        <w:tc>
          <w:tcPr>
            <w:tcW w:w="920" w:type="dxa"/>
            <w:vAlign w:val="bottom"/>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The Meeting</w:t>
              </w:r>
            </w:hyperlink>
          </w:p>
        </w:tc>
        <w:tc>
          <w:tcPr>
            <w:tcW w:w="7780" w:type="dxa"/>
            <w:vAlign w:val="bottom"/>
            <w:gridSpan w:val="14"/>
          </w:tcPr>
          <w:p>
            <w:pPr>
              <w:spacing w:after="0"/>
              <w:rPr>
                <w:sz w:val="20"/>
                <w:szCs w:val="20"/>
                <w:color w:val="auto"/>
              </w:rPr>
            </w:pPr>
          </w:p>
        </w:tc>
        <w:tc>
          <w:tcPr>
            <w:tcW w:w="1900" w:type="dxa"/>
            <w:vAlign w:val="bottom"/>
            <w:gridSpan w:val="3"/>
          </w:tcPr>
          <w:p>
            <w:pPr>
              <w:jc w:val="center"/>
              <w:ind w:left="173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40" w:type="dxa"/>
            <w:vAlign w:val="bottom"/>
          </w:tcPr>
          <w:p>
            <w:pPr>
              <w:spacing w:after="0"/>
              <w:rPr>
                <w:sz w:val="20"/>
                <w:szCs w:val="20"/>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2760" w:type="dxa"/>
            <w:vAlign w:val="bottom"/>
            <w:gridSpan w:val="9"/>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Proposal No. 1—Election of Directors</w:t>
              </w:r>
            </w:hyperlink>
          </w:p>
        </w:tc>
        <w:tc>
          <w:tcPr>
            <w:tcW w:w="5940" w:type="dxa"/>
            <w:vAlign w:val="bottom"/>
            <w:gridSpan w:val="6"/>
          </w:tcPr>
          <w:p>
            <w:pPr>
              <w:spacing w:after="0"/>
              <w:rPr>
                <w:sz w:val="20"/>
                <w:szCs w:val="20"/>
                <w:color w:val="auto"/>
              </w:rPr>
            </w:pPr>
          </w:p>
        </w:tc>
        <w:tc>
          <w:tcPr>
            <w:tcW w:w="1900" w:type="dxa"/>
            <w:vAlign w:val="bottom"/>
            <w:gridSpan w:val="3"/>
          </w:tcPr>
          <w:p>
            <w:pPr>
              <w:jc w:val="center"/>
              <w:ind w:left="173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140" w:type="dxa"/>
            <w:vAlign w:val="bottom"/>
          </w:tcPr>
          <w:p>
            <w:pPr>
              <w:spacing w:after="0"/>
              <w:rPr>
                <w:sz w:val="20"/>
                <w:szCs w:val="20"/>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702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Proposal No. 2—Ratification of Appointment of Independent Registered Public Accounting Firm</w:t>
              </w:r>
            </w:hyperlink>
          </w:p>
        </w:tc>
        <w:tc>
          <w:tcPr>
            <w:tcW w:w="1680" w:type="dxa"/>
            <w:vAlign w:val="bottom"/>
          </w:tcPr>
          <w:p>
            <w:pPr>
              <w:spacing w:after="0"/>
              <w:rPr>
                <w:sz w:val="20"/>
                <w:szCs w:val="20"/>
                <w:color w:val="auto"/>
              </w:rPr>
            </w:pPr>
          </w:p>
        </w:tc>
        <w:tc>
          <w:tcPr>
            <w:tcW w:w="1820" w:type="dxa"/>
            <w:vAlign w:val="bottom"/>
            <w:gridSpan w:val="2"/>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16">
              <w:r>
                <w:rPr>
                  <w:rFonts w:ascii="Arial" w:cs="Arial" w:eastAsia="Arial" w:hAnsi="Arial"/>
                  <w:sz w:val="15"/>
                  <w:szCs w:val="15"/>
                  <w:color w:val="0000EE"/>
                  <w:w w:val="71"/>
                </w:rPr>
                <w:t>13</w:t>
              </w:r>
            </w:hyperlink>
          </w:p>
        </w:tc>
        <w:tc>
          <w:tcPr>
            <w:tcW w:w="140" w:type="dxa"/>
            <w:vAlign w:val="bottom"/>
          </w:tcPr>
          <w:p>
            <w:pPr>
              <w:spacing w:after="0"/>
              <w:rPr>
                <w:sz w:val="20"/>
                <w:szCs w:val="20"/>
                <w:color w:val="auto"/>
              </w:rPr>
            </w:pPr>
          </w:p>
        </w:tc>
      </w:tr>
      <w:tr>
        <w:trPr>
          <w:trHeight w:val="237"/>
        </w:trPr>
        <w:tc>
          <w:tcPr>
            <w:tcW w:w="48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Security Ownership of Certain Beneficial Owners and Management</w:t>
              </w:r>
            </w:hyperlink>
          </w:p>
        </w:tc>
        <w:tc>
          <w:tcPr>
            <w:tcW w:w="3820" w:type="dxa"/>
            <w:vAlign w:val="bottom"/>
            <w:gridSpan w:val="2"/>
          </w:tcPr>
          <w:p>
            <w:pPr>
              <w:spacing w:after="0"/>
              <w:rPr>
                <w:sz w:val="20"/>
                <w:szCs w:val="20"/>
                <w:color w:val="auto"/>
              </w:rPr>
            </w:pPr>
          </w:p>
        </w:tc>
        <w:tc>
          <w:tcPr>
            <w:tcW w:w="1820" w:type="dxa"/>
            <w:vAlign w:val="bottom"/>
            <w:gridSpan w:val="2"/>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17">
              <w:r>
                <w:rPr>
                  <w:rFonts w:ascii="Arial" w:cs="Arial" w:eastAsia="Arial" w:hAnsi="Arial"/>
                  <w:sz w:val="15"/>
                  <w:szCs w:val="15"/>
                  <w:color w:val="0000EE"/>
                  <w:w w:val="71"/>
                </w:rPr>
                <w:t>14</w:t>
              </w:r>
            </w:hyperlink>
          </w:p>
        </w:tc>
        <w:tc>
          <w:tcPr>
            <w:tcW w:w="140" w:type="dxa"/>
            <w:vAlign w:val="bottom"/>
          </w:tcPr>
          <w:p>
            <w:pPr>
              <w:spacing w:after="0"/>
              <w:rPr>
                <w:sz w:val="20"/>
                <w:szCs w:val="20"/>
                <w:color w:val="auto"/>
              </w:rPr>
            </w:pPr>
          </w:p>
        </w:tc>
      </w:tr>
      <w:tr>
        <w:trPr>
          <w:trHeight w:val="237"/>
        </w:trPr>
        <w:tc>
          <w:tcPr>
            <w:tcW w:w="18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Executive Compensation</w:t>
              </w:r>
            </w:hyperlink>
          </w:p>
        </w:tc>
        <w:tc>
          <w:tcPr>
            <w:tcW w:w="6900" w:type="dxa"/>
            <w:vAlign w:val="bottom"/>
            <w:gridSpan w:val="10"/>
          </w:tcPr>
          <w:p>
            <w:pPr>
              <w:spacing w:after="0"/>
              <w:rPr>
                <w:sz w:val="20"/>
                <w:szCs w:val="20"/>
                <w:color w:val="auto"/>
              </w:rPr>
            </w:pPr>
          </w:p>
        </w:tc>
        <w:tc>
          <w:tcPr>
            <w:tcW w:w="1820" w:type="dxa"/>
            <w:vAlign w:val="bottom"/>
            <w:gridSpan w:val="2"/>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19">
              <w:r>
                <w:rPr>
                  <w:rFonts w:ascii="Arial" w:cs="Arial" w:eastAsia="Arial" w:hAnsi="Arial"/>
                  <w:sz w:val="15"/>
                  <w:szCs w:val="15"/>
                  <w:color w:val="0000EE"/>
                  <w:w w:val="71"/>
                </w:rPr>
                <w:t>16</w:t>
              </w:r>
            </w:hyperlink>
          </w:p>
        </w:tc>
        <w:tc>
          <w:tcPr>
            <w:tcW w:w="140" w:type="dxa"/>
            <w:vAlign w:val="bottom"/>
          </w:tcPr>
          <w:p>
            <w:pPr>
              <w:spacing w:after="0"/>
              <w:rPr>
                <w:sz w:val="20"/>
                <w:szCs w:val="20"/>
                <w:color w:val="auto"/>
              </w:rPr>
            </w:pPr>
          </w:p>
        </w:tc>
      </w:tr>
      <w:tr>
        <w:trPr>
          <w:trHeight w:val="237"/>
        </w:trPr>
        <w:tc>
          <w:tcPr>
            <w:tcW w:w="16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Director Compensation</w:t>
              </w:r>
            </w:hyperlink>
          </w:p>
        </w:tc>
        <w:tc>
          <w:tcPr>
            <w:tcW w:w="7020" w:type="dxa"/>
            <w:vAlign w:val="bottom"/>
            <w:gridSpan w:val="11"/>
          </w:tcPr>
          <w:p>
            <w:pPr>
              <w:spacing w:after="0"/>
              <w:rPr>
                <w:sz w:val="20"/>
                <w:szCs w:val="20"/>
                <w:color w:val="auto"/>
              </w:rPr>
            </w:pPr>
          </w:p>
        </w:tc>
        <w:tc>
          <w:tcPr>
            <w:tcW w:w="1820" w:type="dxa"/>
            <w:vAlign w:val="bottom"/>
            <w:gridSpan w:val="2"/>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2">
              <w:r>
                <w:rPr>
                  <w:rFonts w:ascii="Arial" w:cs="Arial" w:eastAsia="Arial" w:hAnsi="Arial"/>
                  <w:sz w:val="15"/>
                  <w:szCs w:val="15"/>
                  <w:color w:val="0000EE"/>
                  <w:w w:val="71"/>
                </w:rPr>
                <w:t>19</w:t>
              </w:r>
            </w:hyperlink>
          </w:p>
        </w:tc>
        <w:tc>
          <w:tcPr>
            <w:tcW w:w="140" w:type="dxa"/>
            <w:vAlign w:val="bottom"/>
          </w:tcPr>
          <w:p>
            <w:pPr>
              <w:spacing w:after="0"/>
              <w:rPr>
                <w:sz w:val="20"/>
                <w:szCs w:val="20"/>
                <w:color w:val="auto"/>
              </w:rPr>
            </w:pPr>
          </w:p>
        </w:tc>
      </w:tr>
      <w:tr>
        <w:trPr>
          <w:trHeight w:val="237"/>
        </w:trPr>
        <w:tc>
          <w:tcPr>
            <w:tcW w:w="24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Transactions with Related Persons</w:t>
              </w:r>
            </w:hyperlink>
          </w:p>
        </w:tc>
        <w:tc>
          <w:tcPr>
            <w:tcW w:w="6220" w:type="dxa"/>
            <w:vAlign w:val="bottom"/>
            <w:gridSpan w:val="7"/>
          </w:tcPr>
          <w:p>
            <w:pPr>
              <w:spacing w:after="0"/>
              <w:rPr>
                <w:sz w:val="20"/>
                <w:szCs w:val="20"/>
                <w:color w:val="auto"/>
              </w:rPr>
            </w:pPr>
          </w:p>
        </w:tc>
        <w:tc>
          <w:tcPr>
            <w:tcW w:w="1820" w:type="dxa"/>
            <w:vAlign w:val="bottom"/>
            <w:gridSpan w:val="2"/>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3">
              <w:r>
                <w:rPr>
                  <w:rFonts w:ascii="Arial" w:cs="Arial" w:eastAsia="Arial" w:hAnsi="Arial"/>
                  <w:sz w:val="15"/>
                  <w:szCs w:val="15"/>
                  <w:color w:val="0000EE"/>
                  <w:w w:val="71"/>
                </w:rPr>
                <w:t>19</w:t>
              </w:r>
            </w:hyperlink>
          </w:p>
        </w:tc>
        <w:tc>
          <w:tcPr>
            <w:tcW w:w="140" w:type="dxa"/>
            <w:vAlign w:val="bottom"/>
          </w:tcPr>
          <w:p>
            <w:pPr>
              <w:spacing w:after="0"/>
              <w:rPr>
                <w:sz w:val="20"/>
                <w:szCs w:val="20"/>
                <w:color w:val="auto"/>
              </w:rPr>
            </w:pPr>
          </w:p>
        </w:tc>
      </w:tr>
      <w:tr>
        <w:trPr>
          <w:trHeight w:val="237"/>
        </w:trPr>
        <w:tc>
          <w:tcPr>
            <w:tcW w:w="8700" w:type="dxa"/>
            <w:vAlign w:val="bottom"/>
            <w:gridSpan w:val="1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Report of the Audit Committee</w:t>
              </w:r>
            </w:hyperlink>
          </w:p>
        </w:tc>
        <w:tc>
          <w:tcPr>
            <w:tcW w:w="1900" w:type="dxa"/>
            <w:vAlign w:val="bottom"/>
            <w:gridSpan w:val="3"/>
          </w:tcPr>
          <w:p>
            <w:pPr>
              <w:jc w:val="center"/>
              <w:ind w:left="163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22</w:t>
              </w:r>
            </w:hyperlink>
          </w:p>
        </w:tc>
        <w:tc>
          <w:tcPr>
            <w:tcW w:w="140" w:type="dxa"/>
            <w:vAlign w:val="bottom"/>
          </w:tcPr>
          <w:p>
            <w:pPr>
              <w:spacing w:after="0"/>
              <w:rPr>
                <w:sz w:val="20"/>
                <w:szCs w:val="20"/>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18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37"/>
        </w:trPr>
        <w:tc>
          <w:tcPr>
            <w:tcW w:w="426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Section 16(a) Beneficial Ownership Reporting Compliance</w:t>
              </w:r>
            </w:hyperlink>
          </w:p>
        </w:tc>
        <w:tc>
          <w:tcPr>
            <w:tcW w:w="4440" w:type="dxa"/>
            <w:vAlign w:val="bottom"/>
            <w:gridSpan w:val="3"/>
          </w:tcPr>
          <w:p>
            <w:pPr>
              <w:spacing w:after="0"/>
              <w:rPr>
                <w:sz w:val="20"/>
                <w:szCs w:val="20"/>
                <w:color w:val="auto"/>
              </w:rPr>
            </w:pPr>
          </w:p>
        </w:tc>
        <w:tc>
          <w:tcPr>
            <w:tcW w:w="1820" w:type="dxa"/>
            <w:vAlign w:val="bottom"/>
            <w:gridSpan w:val="2"/>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6">
              <w:r>
                <w:rPr>
                  <w:rFonts w:ascii="Arial" w:cs="Arial" w:eastAsia="Arial" w:hAnsi="Arial"/>
                  <w:sz w:val="15"/>
                  <w:szCs w:val="15"/>
                  <w:color w:val="0000EE"/>
                  <w:w w:val="71"/>
                </w:rPr>
                <w:t>23</w:t>
              </w:r>
            </w:hyperlink>
          </w:p>
        </w:tc>
        <w:tc>
          <w:tcPr>
            <w:tcW w:w="140" w:type="dxa"/>
            <w:vAlign w:val="bottom"/>
          </w:tcPr>
          <w:p>
            <w:pPr>
              <w:spacing w:after="0"/>
              <w:rPr>
                <w:sz w:val="20"/>
                <w:szCs w:val="20"/>
                <w:color w:val="auto"/>
              </w:rPr>
            </w:pPr>
          </w:p>
        </w:tc>
      </w:tr>
      <w:tr>
        <w:trPr>
          <w:trHeight w:val="237"/>
        </w:trPr>
        <w:tc>
          <w:tcPr>
            <w:tcW w:w="870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Stockholder Proposals</w:t>
              </w:r>
            </w:hyperlink>
          </w:p>
        </w:tc>
        <w:tc>
          <w:tcPr>
            <w:tcW w:w="1900" w:type="dxa"/>
            <w:vAlign w:val="bottom"/>
            <w:gridSpan w:val="3"/>
          </w:tcPr>
          <w:p>
            <w:pPr>
              <w:jc w:val="center"/>
              <w:ind w:left="163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23</w:t>
              </w:r>
            </w:hyperlink>
          </w:p>
        </w:tc>
        <w:tc>
          <w:tcPr>
            <w:tcW w:w="140" w:type="dxa"/>
            <w:vAlign w:val="bottom"/>
          </w:tcPr>
          <w:p>
            <w:pPr>
              <w:spacing w:after="0"/>
              <w:rPr>
                <w:sz w:val="20"/>
                <w:szCs w:val="20"/>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82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37"/>
        </w:trPr>
        <w:tc>
          <w:tcPr>
            <w:tcW w:w="870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Directors’ Attendance at Annual Stockholder Meetings</w:t>
              </w:r>
            </w:hyperlink>
          </w:p>
        </w:tc>
        <w:tc>
          <w:tcPr>
            <w:tcW w:w="1900" w:type="dxa"/>
            <w:vAlign w:val="bottom"/>
            <w:gridSpan w:val="3"/>
          </w:tcPr>
          <w:p>
            <w:pPr>
              <w:jc w:val="center"/>
              <w:ind w:left="163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23</w:t>
              </w:r>
            </w:hyperlink>
          </w:p>
        </w:tc>
        <w:tc>
          <w:tcPr>
            <w:tcW w:w="140" w:type="dxa"/>
            <w:vAlign w:val="bottom"/>
          </w:tcPr>
          <w:p>
            <w:pPr>
              <w:spacing w:after="0"/>
              <w:rPr>
                <w:sz w:val="20"/>
                <w:szCs w:val="20"/>
                <w:color w:val="auto"/>
              </w:rPr>
            </w:pPr>
          </w:p>
        </w:tc>
      </w:tr>
      <w:tr>
        <w:trPr>
          <w:trHeight w:val="237"/>
        </w:trPr>
        <w:tc>
          <w:tcPr>
            <w:tcW w:w="21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Stockholder Communications</w:t>
              </w:r>
            </w:hyperlink>
          </w:p>
        </w:tc>
        <w:tc>
          <w:tcPr>
            <w:tcW w:w="1820" w:type="dxa"/>
            <w:vAlign w:val="bottom"/>
            <w:tcBorders>
              <w:top w:val="single" w:sz="8" w:color="0000EE"/>
            </w:tcBorders>
            <w:gridSpan w:val="5"/>
          </w:tcPr>
          <w:p>
            <w:pPr>
              <w:spacing w:after="0"/>
              <w:rPr>
                <w:sz w:val="20"/>
                <w:szCs w:val="20"/>
                <w:color w:val="auto"/>
              </w:rPr>
            </w:pPr>
          </w:p>
        </w:tc>
        <w:tc>
          <w:tcPr>
            <w:tcW w:w="4740" w:type="dxa"/>
            <w:vAlign w:val="bottom"/>
            <w:gridSpan w:val="4"/>
          </w:tcPr>
          <w:p>
            <w:pPr>
              <w:spacing w:after="0"/>
              <w:rPr>
                <w:sz w:val="20"/>
                <w:szCs w:val="20"/>
                <w:color w:val="auto"/>
              </w:rPr>
            </w:pPr>
          </w:p>
        </w:tc>
        <w:tc>
          <w:tcPr>
            <w:tcW w:w="1820" w:type="dxa"/>
            <w:vAlign w:val="bottom"/>
            <w:gridSpan w:val="2"/>
          </w:tcPr>
          <w:p>
            <w:pPr>
              <w:spacing w:after="0"/>
              <w:rPr>
                <w:sz w:val="20"/>
                <w:szCs w:val="20"/>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27">
              <w:r>
                <w:rPr>
                  <w:rFonts w:ascii="Arial" w:cs="Arial" w:eastAsia="Arial" w:hAnsi="Arial"/>
                  <w:sz w:val="15"/>
                  <w:szCs w:val="15"/>
                  <w:color w:val="0000EE"/>
                  <w:w w:val="71"/>
                </w:rPr>
                <w:t>23</w:t>
              </w:r>
            </w:hyperlink>
          </w:p>
        </w:tc>
        <w:tc>
          <w:tcPr>
            <w:tcW w:w="140" w:type="dxa"/>
            <w:vAlign w:val="bottom"/>
          </w:tcPr>
          <w:p>
            <w:pPr>
              <w:spacing w:after="0"/>
              <w:rPr>
                <w:sz w:val="20"/>
                <w:szCs w:val="20"/>
                <w:color w:val="auto"/>
              </w:rPr>
            </w:pPr>
          </w:p>
        </w:tc>
      </w:tr>
      <w:tr>
        <w:trPr>
          <w:trHeight w:val="237"/>
        </w:trPr>
        <w:tc>
          <w:tcPr>
            <w:tcW w:w="11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Other Business</w:t>
              </w:r>
            </w:hyperlink>
          </w:p>
        </w:tc>
        <w:tc>
          <w:tcPr>
            <w:tcW w:w="7600" w:type="dxa"/>
            <w:vAlign w:val="bottom"/>
            <w:gridSpan w:val="13"/>
          </w:tcPr>
          <w:p>
            <w:pPr>
              <w:spacing w:after="0"/>
              <w:rPr>
                <w:sz w:val="20"/>
                <w:szCs w:val="20"/>
                <w:color w:val="auto"/>
              </w:rPr>
            </w:pPr>
          </w:p>
        </w:tc>
        <w:tc>
          <w:tcPr>
            <w:tcW w:w="1820" w:type="dxa"/>
            <w:vAlign w:val="bottom"/>
            <w:gridSpan w:val="2"/>
          </w:tcPr>
          <w:p>
            <w:pPr>
              <w:spacing w:after="0"/>
              <w:rPr>
                <w:sz w:val="20"/>
                <w:szCs w:val="20"/>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27">
              <w:r>
                <w:rPr>
                  <w:rFonts w:ascii="Arial" w:cs="Arial" w:eastAsia="Arial" w:hAnsi="Arial"/>
                  <w:sz w:val="15"/>
                  <w:szCs w:val="15"/>
                  <w:color w:val="0000EE"/>
                  <w:w w:val="71"/>
                </w:rPr>
                <w:t>23</w:t>
              </w:r>
            </w:hyperlink>
          </w:p>
        </w:tc>
        <w:tc>
          <w:tcPr>
            <w:tcW w:w="140" w:type="dxa"/>
            <w:vAlign w:val="bottom"/>
          </w:tcPr>
          <w:p>
            <w:pPr>
              <w:spacing w:after="0"/>
              <w:rPr>
                <w:sz w:val="20"/>
                <w:szCs w:val="20"/>
                <w:color w:val="auto"/>
              </w:rPr>
            </w:pPr>
          </w:p>
        </w:tc>
      </w:tr>
      <w:tr>
        <w:trPr>
          <w:trHeight w:val="237"/>
        </w:trPr>
        <w:tc>
          <w:tcPr>
            <w:tcW w:w="870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Where You Can Find More Information</w:t>
              </w:r>
            </w:hyperlink>
          </w:p>
        </w:tc>
        <w:tc>
          <w:tcPr>
            <w:tcW w:w="1900" w:type="dxa"/>
            <w:vAlign w:val="bottom"/>
            <w:gridSpan w:val="3"/>
          </w:tcPr>
          <w:p>
            <w:pPr>
              <w:jc w:val="center"/>
              <w:ind w:left="163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23</w:t>
              </w:r>
            </w:hyperlink>
          </w:p>
        </w:tc>
        <w:tc>
          <w:tcPr>
            <w:tcW w:w="140" w:type="dxa"/>
            <w:vAlign w:val="bottom"/>
          </w:tcPr>
          <w:p>
            <w:pPr>
              <w:spacing w:after="0"/>
              <w:rPr>
                <w:sz w:val="20"/>
                <w:szCs w:val="20"/>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0740"/>
          </w:cols>
          <w:pgMar w:left="280" w:top="927" w:right="8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NOODLES &amp; COMPANY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520 ZANG STREET, SUITE D, BROOMFIELD, COLORADO 80021</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19,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MEETING</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accompanying proxy is solicited on behalf of the Board of Directors (the “Board of Directors” or the “Board”) of Noodles &amp; Company, a Delaware corporation (the “Company”), for use at the 2014 Annual Meeting of Stockholders (the “Annual Meeting”) to be held at The Westin Westminster Hotel, 10600 Westminster Boulevard, Westminster, Colorado, on April 30, 2014, at 2:00 p.m. local time. This Proxy Statement and the accompanying form of proxy were first mailed to stockholders on or about March 19, 2014. An Annual Report for the year ended December 31, 2013 is enclosed with this Proxy Statement. An electronic copy of this proxy statement and annual report are available at investor.noodles.com.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Quorum and Required Vote</w:t>
      </w:r>
    </w:p>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Only holders of record of our Class A and Class B common stock at the close of business on March 11, 2014, which is the record date, will be entitled to vote at the Annual Meeting. At the close of business on March 11, 2014, we had 29,625,804 shares of common stock outstanding and entitled to vote; of which 28,103,706 were Class A common stock and 1,522,098 were Class B common stock. Holders of the Company’s Class A and Class B common stock are entitled to one vote for each share held as of the above record date, with the exception that Class B common stock does not vote on the election or removal of directors. Shares of our Class B common stock are convertible on a share-for-share basis into shares of our Class A common stock at the election of the holder. A quorum is required for our stockholders to conduct business at the Annual Meeting. The holders of a majority in voting power of all issued and outstanding stock entitled to vote at the Annual Meeting, present in person or represented by proxy, will constitute a quorum for the transaction of business. Abstentions and “broker non-votes” (described below) will be counted in determining whether there is a quorum.</w:t>
      </w:r>
    </w:p>
    <w:p>
      <w:pPr>
        <w:spacing w:after="0" w:line="11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Proposal No. 1—Election of Directors, directors will be elected by a plurality of the votes of the shares of common stock cast at the Annual Meeting, which means that the two nominees receiving the highest number of “for” votes will be elected. Withheld votes and broker non-votes (as defined below) will have no effect on Proposal No. 1.</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Proposal No. 2—Ratification of Appointment of Independent Registered Public Accounting Firm, requires the affirmative vote of the holders of a majority in voting power of the stock entitled to vote at the Annual Meeting, present in person or represented by proxy. Abstentions will count the same as votes against Proposal No. 2. Broker non-votes will have no effect on Proposal No. 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you are a registered holder, meaning that you hold our stock directly (not through a bank, broker or other nominee), you may vote in person at the Annual Meeting or vote by completing, dating and signing the accompanying proxy and promptly returning it in the enclosed envelope, by telephone, or electronically through the Internet by following the instructions included on your proxy card. All signed, returned proxies that are not revoked will be voted in accordance with the instructions contained therein. Signed proxies that give no instructions as to how they should be voted on a particular proposal at the Annual Meeting will be counted as votes “for” such proposal or in the case of the election of the Class I directors, as a vote “for” election to Class I of the Board of both nominees presented by the Board.</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your shares are held through a bank, broker or other nominee, you are considered the beneficial owner of those shares. You may be able to vote by telephone or electronically through the Internet in accordance with the voting instructions provided by that nominee. You must obtain a legal proxy from the nominee that holds your shares if you wish to vote in person at the annual meeting. If you do not provide voting instructions to your broker in advance of the annual meeting, New York Stock Exchange rules grant your broker discretionary authority to vote on “routine” proposals. The ratification of the appointment of the independent registered public accounting firm in Proposal No. 2 is the only item on the agenda for the annual meeting that is considered routine. Where a proposal is not “routine,” a broker who has received no instructions from its clients does not have discretion to vote its clients’ uninstructed shares on that proposal, and the unvoted shares are referred to as “broker non-votes.”</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event that sufficient votes in favor of the proposals are not received by the date of the Annual Meeting, the Chairman of the Annual Meeting may adjourn the Annual Meeting to permit further solicitations of proxies.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 Stockholders voting via the telephone or Internet should understand that there may be costs associated with telephonic or electronic access, such as usage charges from telephone companies and Internet access providers, that must be borne by the stockholder.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expenses of soliciting proxies to be voted at the Annual Meeting will be paid by the Company. Following the original mailing of the proxies and other soliciting materials, the Company and/or its directors, officers or employees (for no additional compensation) may also solicit proxies in person, by telephone or email. Following the original mailing of the proxies and other soliciting materials, the Company will request that banks, brokers and other nominees forward copies of the proxy and other soliciting materials to persons for whom they hold shares of common stock and request authority for the exercise of proxies. We will reimburse banks, brokers and other nominees for reasonable charges and expenses incurred in forwarding soliciting materials to their clients.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Any person submitting a proxy has the power to revoke it prior to the Annual Meeting or at the Annual Meeting prior to the vote. A proxy may be revoked by a writing delivered to the Company stating that the proxy is revoked, by a subsequent proxy that is submitted via telephone or Internet no later than 11:59 p.m. (CT) on April 29, 2014, by a subsequent proxy that is signed by the person who signed the earlier proxy and is delivered before or at the Annual Meeting, or by attendance at the Annual Meeting and voting in person. In order for beneficial owners to change any of your previously provided voting instructions, you must contact your bank, broker or other nominee directly.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adopted a procedure approved by the Securities and Exchange Commission (“SEC”) called "householding" under which multiple stockholders who share the same address will receive only one copy of the Annual Report, Proxy Statement, or Notice of Internet Availability of Proxy Materials, as applicable, unless we receive contrary instructions from one or more of the stockholders. If you wish to opt out of householding and receive multiple copies of the proxy materials at the same address, or if you have previously opted out and wish to participate in householding, you may do so by notifying us by telephone at 720-214-4132, by mail at Noodles &amp; Company at, 520 Zang Street, Suite D, Broomfield, CO 80021, or by email at investorrelations@noodles.com, and we will promptly deliver the requested materials. You also may request additional copies of the proxy materials by notifying us in writing or by telephone at the same address, email address, or telephone number. Stockholders with shares registered in the name of a brokerage firm or bank may contact their brokerage firm or bank to request information about householding.</w:t>
      </w:r>
    </w:p>
    <w:p>
      <w:pPr>
        <w:spacing w:after="0" w:line="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Beginning on March 19, 2014, we mailed or e-mailed to some of our stockholders a Notice of Internet Availability of Proxy Materials with instructions on how to access our proxy materials over the Internet and how to vote. If you received a notice and would prefer to receive paper copies of the proxy materials, you may notify us by telephone, email or mail at the telephone number, email address and mailing address provided above.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For as long as we are an emerging growth company, we will not be required to provide an auditor's attestation report on management's assessment of the effectiveness of our system of internal control over financial reporting pursuant to Section 404(b) of the Sarbanes-Oxley Act of 2002, or obtain stockholder approval of any golden parachute payments not previously approved. In addition, because we are an emerging growth company, we are not required to include a Compensation Discussion and Analysis section in this proxy statement and have elected to comply with the scaled-down executive compensation disclosure requirements applicable to emerging growth companies.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could be an emerging growth company for up to five years from June 28, 2013, the date of our initial public offering, or until the earliest of (i) the last day of the first fiscal year in which our annual gross revenues exceed $1 billion, (ii) the date that we become a “large accelerated filer” as defined in Rule 12b-2 under the Securities Exchange Act of 1934, as amended (the “Exchange Act”), which would occur at the end of the fiscal year during which the market value of our common stock that is held by non-affiliates exceeds $700 million as of the last business day of our most recently completed second fiscal quarter, or (iii) the date on which we have issued more than $1 billion in non-convertible debt during the preceding three year period. Under Section 107(b) of the JOBS Act, emerging growth companies may delay adopting new or revised accounting standards until such time as those standards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PROPOSAL NO. 1—ELECTION OF DIRECTORS</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Board of Directors is presently comprised of eight members, who are divided into three classes, designated as Class I, Class II and Class III. One class of directors is elected by the stockholders at each annual meeting to serve a three-year term. Class I directors consist of James Pittman and James Rand; Class II directors consist of Andrew Taub, Stuart Frenkiel and Jeffrey Jones; and Class III directors consist of Scott Dahnke, Kevin Reddy and Keith Kinsey.</w:t>
      </w:r>
    </w:p>
    <w:p>
      <w:pPr>
        <w:spacing w:after="0" w:line="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Class I directors standing for re-election at the Annual Meeting are James Pittman and James Rand. Class II and Class III directors will stand for re-election or election at the 2015 and 2016 annual meetings of stockholders, respectively.</w:t>
      </w:r>
    </w:p>
    <w:p>
      <w:pPr>
        <w:spacing w:after="0" w:line="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Each of the nominees for election to Class I is currently a director of the Company. If elected at the Annual Meeting, each of the nominees would serve for three years and until his or her successor is duly elected and qualified, or until such director’s earlier death, resignation or removal. If either of the nominees is unable or unwilling to be a candidate for election by the time of the Annual Meeting (a contingency which the Board does not expect to occur), the stockholders may vote for a substitute nominee chosen by the present Board to fill the vacancy. In the alternative, the stockholders may vote for just the remaining nominee, leaving a vacancy that may be filled at a later date by the Board. Alternatively, the Board may reduce the size of the Board.</w:t>
      </w:r>
    </w:p>
    <w:p>
      <w:pPr>
        <w:spacing w:after="0" w:line="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Of the two Class I directors standing for re-election at the Annual Meeting, James Pittman is affiliated with Argentia Private Investments Inc. ("Argentia"), which invested in the Company in 2010, currently holds approximately 28% of our outstanding equity interests and has the right to designate two members to our Board of Directors, and James Rand has been a member of our Board of Directors since 2008, bringing substantial restaurant operating company experience, including particular experience in large-scale restaurant development.</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names of the nominees for election as Class I directors at the Annual Meeting and of the incumbent Class II and Class III directors, and certain information about them, including their ages as of March 19, 2014, are included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Expiration of</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Term for</w:t>
            </w:r>
          </w:p>
        </w:tc>
      </w:tr>
      <w:tr>
        <w:trPr>
          <w:trHeight w:val="216"/>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 Elected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Current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which</w:t>
            </w:r>
          </w:p>
        </w:tc>
      </w:tr>
      <w:tr>
        <w:trPr>
          <w:trHeight w:val="241"/>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Nominees</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12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Term Expires</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Nominated</w:t>
            </w:r>
          </w:p>
        </w:tc>
      </w:tr>
      <w:tr>
        <w:trPr>
          <w:trHeight w:val="270"/>
        </w:trPr>
        <w:tc>
          <w:tcPr>
            <w:tcW w:w="4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James Pittman </w:t>
            </w:r>
            <w:r>
              <w:rPr>
                <w:rFonts w:ascii="Arial" w:cs="Arial" w:eastAsia="Arial" w:hAnsi="Arial"/>
                <w:sz w:val="25"/>
                <w:szCs w:val="25"/>
                <w:color w:val="auto"/>
                <w:vertAlign w:val="superscript"/>
              </w:rPr>
              <w:t>(1)</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70"/>
        </w:trPr>
        <w:tc>
          <w:tcPr>
            <w:tcW w:w="4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James Rand </w:t>
            </w:r>
            <w:r>
              <w:rPr>
                <w:rFonts w:ascii="Arial" w:cs="Arial" w:eastAsia="Arial" w:hAnsi="Arial"/>
                <w:sz w:val="25"/>
                <w:szCs w:val="25"/>
                <w:color w:val="auto"/>
                <w:vertAlign w:val="superscript"/>
              </w:rPr>
              <w:t>(2)</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rPr>
              <w:t>I</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23"/>
                <w:szCs w:val="2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Continuing Directors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Stuart Frenkiel </w:t>
            </w:r>
            <w:r>
              <w:rPr>
                <w:rFonts w:ascii="Arial" w:cs="Arial" w:eastAsia="Arial" w:hAnsi="Arial"/>
                <w:sz w:val="25"/>
                <w:szCs w:val="25"/>
                <w:color w:val="auto"/>
                <w:vertAlign w:val="superscript"/>
              </w:rPr>
              <w:t>(2) (3)</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II</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20" w:type="dxa"/>
            <w:vAlign w:val="bottom"/>
          </w:tcPr>
          <w:p>
            <w:pPr>
              <w:spacing w:after="0"/>
              <w:rPr>
                <w:sz w:val="23"/>
                <w:szCs w:val="23"/>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Jeffrey Jones </w:t>
            </w:r>
            <w:r>
              <w:rPr>
                <w:rFonts w:ascii="Arial" w:cs="Arial" w:eastAsia="Arial" w:hAnsi="Arial"/>
                <w:sz w:val="25"/>
                <w:szCs w:val="25"/>
                <w:color w:val="auto"/>
                <w:vertAlign w:val="superscript"/>
              </w:rPr>
              <w:t>(2)</w:t>
            </w: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II</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Andrew Taub</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rPr>
              <w:t>II</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Scott Dahnke </w:t>
            </w:r>
            <w:r>
              <w:rPr>
                <w:rFonts w:ascii="Arial" w:cs="Arial" w:eastAsia="Arial" w:hAnsi="Arial"/>
                <w:sz w:val="25"/>
                <w:szCs w:val="25"/>
                <w:color w:val="auto"/>
                <w:vertAlign w:val="superscript"/>
              </w:rPr>
              <w:t>(1) (3) (4)</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III</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Director</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9"/>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President, Chief</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Keith Kinsey</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rPr>
              <w:t>III</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Operating Officer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7"/>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and Director</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6"/>
        </w:trPr>
        <w:tc>
          <w:tcPr>
            <w:tcW w:w="4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Chairman and</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Kevin Reddy</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III</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Chief Executive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44"/>
        </w:trPr>
        <w:tc>
          <w:tcPr>
            <w:tcW w:w="4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Officer</w:t>
            </w: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182"/>
        </w:trPr>
        <w:tc>
          <w:tcPr>
            <w:tcW w:w="4240" w:type="dxa"/>
            <w:vAlign w:val="bottom"/>
          </w:tcPr>
          <w:p>
            <w:pPr>
              <w:spacing w:after="0"/>
              <w:rPr>
                <w:sz w:val="20"/>
                <w:szCs w:val="20"/>
                <w:color w:val="auto"/>
              </w:rPr>
            </w:pPr>
            <w:r>
              <w:rPr>
                <w:rFonts w:ascii="Arial" w:cs="Arial" w:eastAsia="Arial" w:hAnsi="Arial"/>
                <w:sz w:val="14"/>
                <w:szCs w:val="14"/>
                <w:color w:val="auto"/>
              </w:rPr>
              <w:t>________________________</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78" w:lineRule="exact"/>
        <w:rPr>
          <w:sz w:val="20"/>
          <w:szCs w:val="20"/>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Nominees for Election as Class I Directors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James Pittman </w:t>
      </w:r>
      <w:r>
        <w:rPr>
          <w:rFonts w:ascii="Arial" w:cs="Arial" w:eastAsia="Arial" w:hAnsi="Arial"/>
          <w:sz w:val="18"/>
          <w:szCs w:val="18"/>
          <w:color w:val="auto"/>
        </w:rPr>
        <w:t>has been a member of our Board of Directors since December 2010. Mr. Pittman is a Managing Director at the Public Sector Pension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Board (“PSPIB”), which is the owner of Argentia. From February 2005 until December 2012, he was Vice President Private Equity at PSPIB (the owner of Argentia) in Quebec, Canada. In this capacity, he has co-led the strategy and investment of the international private equity portfolio. Argentia is an affiliate of the Company because, they, together with Catterton Partners ("Catterton"), own more than 50% of our capital stock and we entered into a stockholders agreement with them. These arrangements are discussed further in the “Transactions with Related Persons” section of this proxy statement. From 2002 to 2005, Mr. Pittman served as Executive Vice President and CFO of Provincial Aerospace. Mr. Pittman is also a director of Telesat Holdings, Inc., Haymarket Financial, Chiron Holdings GP, Inc. and Noranco Inc. He brings to our Board of Directors a long-standing familiarity with our business, including industry and operational experience.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James Rand </w:t>
      </w:r>
      <w:r>
        <w:rPr>
          <w:rFonts w:ascii="Arial" w:cs="Arial" w:eastAsia="Arial" w:hAnsi="Arial"/>
          <w:sz w:val="18"/>
          <w:szCs w:val="18"/>
          <w:color w:val="auto"/>
        </w:rPr>
        <w:t>has been a member of our Board of Directors since May 2008. Mr. Rand has served as an independent executive consultant in the retail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 industries since his retirement as Senior Vice President of Worldwide Development at McDonald’s Corporation in 2005. Mr. Rand began his career at McDonald’s Corporation in 1973, where he gained experience in marketing research, marketing and real estate development, including leading the team that launched the Extra Value Meal strategy. Mr. Rand is also a director of Homemade Pizza Company and Chicago Apartment Finders, Inc. He received a BA in Mathematics from Saint Mary’s College. He provides our Board of Directors with seasoned business judgment and valuable insights relevant to our industry.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31F20"/>
        </w:rPr>
        <w:t>Continuing Directors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Scott Dahnke </w:t>
      </w:r>
      <w:r>
        <w:rPr>
          <w:rFonts w:ascii="Arial" w:cs="Arial" w:eastAsia="Arial" w:hAnsi="Arial"/>
          <w:sz w:val="17"/>
          <w:szCs w:val="17"/>
          <w:color w:val="auto"/>
        </w:rPr>
        <w:t>has been a member of our Board of Directors since September 2011. Mr. Dahnke has been a Managing Partner of Catterton since 2003,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has a broad range of business experience in private equity, consulting, management and finance. Catterton is an affiliate of the Company because, they, together with Argentia, own more than 50% of our capital stock and we entered into a stockholders agreement with them. These arrangements are discussed further in the “Transactions with Related Persons” section of this proxy statement. Prior to joining Catterton, he was a Managing Director at Deutsche Bank Capital Partners and at AEA Investors, where he led AEA’s consumer products investing efforts. Previously, Mr. Dahnke was the Chief Executive Officer of infoUSA, a leading publicly traded provider of business and consumer marketing products and services. Prior to joining infoUSA, Mr. Dahnke served clients on an array of strategic and operational issues as a Partner at McKinsey &amp; Company. His early career also includes experience in the Merger Department of Goldman, Sachs &amp; Co. and with General Motors. Mr. Dahnke received a BS, magna cum laude, in Mechanical Engineering from the University of Notre Dame. He also received academic honors while earning an MBA from the Harvard Business School. Mr. Dahnke brings expertise in the retail and consumer industry.</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Stuart Frenkiel </w:t>
      </w:r>
      <w:r>
        <w:rPr>
          <w:rFonts w:ascii="Arial" w:cs="Arial" w:eastAsia="Arial" w:hAnsi="Arial"/>
          <w:sz w:val="18"/>
          <w:szCs w:val="18"/>
          <w:color w:val="auto"/>
        </w:rPr>
        <w:t>has been a member of our Board of Directors since December 2010. Mr. Frenkiel is a Senior Director at PSPIB. He joined PSPIB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2010. PSPIB is the parent of Argentia, which is an affiliate of the Company. Mr. Frenkiel serves on the board of directors of Ferrara Candy Company. From August 2008 to March 2010, he was an Associate Director in the mergers and acquisitions group of UBS Investment Bank. Prior to that, Mr. Frenkiel worked in the Office of Strategic Management at BMO Financial Group and held several finance roles at General Electric Company. Mr. Frenkiel received a Bachelor of Commerce degree from McGill University, holds an MBA from the Kellogg School of Management at Northwestern University, which he received in June 2008, and is a CFA charterholder. He brings to our Board of Directors a long-standing familiarity with our business, including industry and operational experience.</w:t>
      </w:r>
    </w:p>
    <w:p>
      <w:pPr>
        <w:spacing w:after="0" w:line="1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Jeffrey Jones </w:t>
      </w:r>
      <w:r>
        <w:rPr>
          <w:rFonts w:ascii="Arial" w:cs="Arial" w:eastAsia="Arial" w:hAnsi="Arial"/>
          <w:sz w:val="16"/>
          <w:szCs w:val="16"/>
          <w:color w:val="auto"/>
        </w:rPr>
        <w:t>has been a member of our Board of Directors since September 2013. Mr. Jones is the former Chief Financial Officer for Vail Resorts,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he was also a member of the Board of Directors, from 2003 through 2012, and President of Lodging, Retail and Real Estate. Mr. Jones is currently a member of the Board of Directors of Hershey Entertainment and Resorts, where he chairs the Audit and Finance Committee, as well as a member of the US Bank Advisory Board and is Executive in Residence at the Leeds School of Business, University of Colorado at Boulder. Prior to joining Vail Resorts, Mr. Jones held CFO positions with Clark Retail Enterprises and Lids Corporation. Mr. Jones received a BA in Accounting and American Studies from Mercyhurst College and is a member of the AICPA. Mr. Jones provides our board with significant public company experience in financial positions including significant audit committee roles, as well as overall financial, operations and strategic development experience.</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Keith Kinsey </w:t>
      </w:r>
      <w:r>
        <w:rPr>
          <w:rFonts w:ascii="Arial" w:cs="Arial" w:eastAsia="Arial" w:hAnsi="Arial"/>
          <w:sz w:val="18"/>
          <w:szCs w:val="18"/>
          <w:color w:val="auto"/>
        </w:rPr>
        <w:t>has served as our President since July 2012 and our Chief Operating Officer since November 2007. Mr. Kinsey also served as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from July 2005 to July 2012. He became a member of our Board of Directors in November 2008. Prior to joining us, he was the Pacific Regional Director for Chipotle Mexican Grill. Prior to that time, he held various management roles at McDonald’s Corporation, PepsiCo Restaurant Group and Checkers Drive-In Restaurants. He received a BS in Accounting from the University of Illinois. He brings to our Board of Directors leadership skills, strategic guidance and operational vision from prior experience in our industry.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Kevin Reddy </w:t>
      </w:r>
      <w:r>
        <w:rPr>
          <w:rFonts w:ascii="Arial" w:cs="Arial" w:eastAsia="Arial" w:hAnsi="Arial"/>
          <w:sz w:val="16"/>
          <w:szCs w:val="16"/>
          <w:color w:val="auto"/>
        </w:rPr>
        <w:t>has served as our Chief Executive Officer since April 2006. He became a member of our Board of Directors in May 2006 and Chairman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in May 2008. Mr. Reddy was our President and Chief Operating Officer from April 2005 to April 2006, continuing to serve as our President until July 2012. Prior to joining us, he was the Chief Operating Officer, Chief Operations Officer and Restaurant Support Officer for Chipotle Mexican Grill. Mr. Reddy began his professional career with McDonald’s Corporation in 1983 as a regional controller and progressed into positions of escalating responsibility. Mr. Reddy has received a number of awards in connection with his role as our Chief Executive Officer, including being named “Entrepreneur of the Year” by Restaurant Business Magazine in 2009 and, most recently, a 2012 “All-Star CEO” by Restaurant Finance Monitor. He currently serves on the executive advisory board to the Daniels School of Business at the University of Denver. He received a BS in Accounting from Duquesne University. He brings to our Board of Directors leadership skills, strategic guidance and operational vision from prior experience in our industry.</w:t>
      </w:r>
    </w:p>
    <w:p>
      <w:pPr>
        <w:spacing w:after="0" w:line="11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Andrew Taub </w:t>
      </w:r>
      <w:r>
        <w:rPr>
          <w:rFonts w:ascii="Arial" w:cs="Arial" w:eastAsia="Arial" w:hAnsi="Arial"/>
          <w:sz w:val="16"/>
          <w:szCs w:val="16"/>
          <w:color w:val="auto"/>
        </w:rPr>
        <w:t>has been a member of our Board of Directors since December 2010. Mr. Taub is a Senior Partner at Catterton. He joined Catterton in 1996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previously served as a Vice President and Principal prior to becoming a Partner in the firm. Catterton is an affiliate of the Company because, they, together with Argentia, own more than 50% of our capital stock and we entered into a stockholders agreement with them. These arrangements are discussed further in the “Transactions with Related Persons” section of this proxy statement. Mr. Taub has helped capitalize and grow over a dozen consumer companies including restaurants, retail, food and beverage and marketing services. Prior to joining Catterton, he spent three years as Vice President of Nantucket Holding Company, a merchant bank specializing in the acquisition and management of troubled companies, as well as the consolidation of fragmented industries. Previously he worked in Mergers and Acquisitions at Dean Witter Reynolds and Coopers &amp; Lybrand. Mr. Taub received a BA from the University of Michigan and an MBA from Columbia Business School. Mr. Taub brings expertise in the retail and consumer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303530</wp:posOffset>
            </wp:positionV>
            <wp:extent cx="680085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0850" cy="18859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the election of each of the nominated directors.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Board Composition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Our Board of Directors currently consists of eight members.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231F20"/>
        </w:rPr>
        <w:t>In accordance with the amended and restated certificate of incorporation and the amended and restated bylaws,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The authorized number of directors may be changed by resolution of the Board of Directors. Our amended and restated certificate of incorporation and amended and restated bylaws provide for a classified Board of Directors consisting of three classes of directors, each serving staggered three-year terms. Our directors are divided among the three classes as follows:</w:t>
      </w:r>
    </w:p>
    <w:p>
      <w:pPr>
        <w:spacing w:after="0" w:line="158" w:lineRule="exact"/>
        <w:rPr>
          <w:sz w:val="20"/>
          <w:szCs w:val="20"/>
          <w:color w:val="auto"/>
        </w:rPr>
      </w:pPr>
    </w:p>
    <w:p>
      <w:pPr>
        <w:ind w:left="720" w:hanging="199"/>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231F20"/>
        </w:rPr>
        <w:t>Class I directors are James Pittman and James Rand, whose initial term will expire at the 2014 annual meeting of stockholders;</w:t>
      </w:r>
    </w:p>
    <w:p>
      <w:pPr>
        <w:spacing w:after="0" w:line="23" w:lineRule="exact"/>
        <w:rPr>
          <w:rFonts w:ascii="Arial" w:cs="Arial" w:eastAsia="Arial" w:hAnsi="Arial"/>
          <w:sz w:val="18"/>
          <w:szCs w:val="18"/>
          <w:color w:val="auto"/>
        </w:rPr>
      </w:pPr>
    </w:p>
    <w:p>
      <w:pPr>
        <w:ind w:left="720" w:hanging="199"/>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231F20"/>
        </w:rPr>
        <w:t>Class II directors are Stuart Frenkiel, Jeffrey Jones and Andrew Taub, whose initial term will expire at the 2015 annual meeting of stockholders; and</w:t>
      </w:r>
    </w:p>
    <w:p>
      <w:pPr>
        <w:spacing w:after="0" w:line="32" w:lineRule="exact"/>
        <w:rPr>
          <w:rFonts w:ascii="Arial" w:cs="Arial" w:eastAsia="Arial" w:hAnsi="Arial"/>
          <w:sz w:val="16"/>
          <w:szCs w:val="16"/>
          <w:color w:val="auto"/>
        </w:rPr>
      </w:pPr>
    </w:p>
    <w:p>
      <w:pPr>
        <w:ind w:left="720" w:hanging="199"/>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Class III directors are Scott Dahnke, Keith Kinsey and Kevin Reddy, whose initial term will expire at the 2016 annual meeting of stockholders.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Directors for a particular class will be elected for three-year terms at the annual meeting of stockholders in the year in which their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w:t>
      </w:r>
    </w:p>
    <w:p>
      <w:pPr>
        <w:spacing w:after="0" w:line="13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231F20"/>
        </w:rPr>
        <w:t>Kevin Reddy serves as the chairman of our Board of Directors. We believe that six of our directors are independent as required by NASDAQ rules: Scott Dahnke, our lead independent director, Stuart Frenkiel, Jeffrey Jones, James Pittman, James Rand and Andrew Taub. Scott Dahnke and Andrew Taub are affiliated with Catterton, and Stuart Frenkiel and James Pittman are affiliated with Argentia.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Independence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231F20"/>
        </w:rPr>
        <w:t>Under the listing requirements and NASDAQ rules, independent directors must comprise a majority of a listed company's Board of Directors. Our Principles of Corporate Governance (the “Principles”) provide that an “independent” director is a director who meets the NASDAQ definition of independence and the Principles also provide that, under applicable NASDAQ rules, the members of each of the Audit and Compensation Committees are subject to additional, heightened independence criteria applicable to directors serving on these committees. The Principles are published on our website at http://investor.noodles.com/governance.cfm. Our Board of Directors has undertaken a review of its composition, the composition of its committees and the independence of each director (both generally, and, where applicable, under heightened independence criteria applicable to certain committees). Based upon information requested from and provided by each director concerning his background, employment and affiliations, including family relationships, our Board of Directors has determined, based on the recommendation of our Nominating and Corporate Governance Committee, that each of Messrs. Dahnke, Frenkiel, Jones, Pittman, Rand and Taub is “independent” under NASDAQ rules. In making the independence determinations, our Board of Directors assesses any current and prior relationships that each non-employee director has with us and all other relevant facts and circumstances, including the beneficial ownership of our capital stock by each non-employee director. With respect to Messrs. Frenkiel, Pittman and Dahnke, the Board of Directors considered their affiliation with Argentia and Catterton in assessing their independence, as described below. Our Board of Directors made a determination that each director deemed to be independent had no relationships with our company or our management that, in the judgment of the Board, would impair the director's independence.</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Mr. Frenkiel is currently a member of the Audit Committee, and although the Company has determined that he is independent under applicable NASDAQ rules, he does not qualify as “independent” under the requirements set forth in Rule 10A-3(b)(1) of the Securities Act because of his affiliation with Argentia. Rule 10A-3(b)(iv) generally provides that a minority of the members of the audit committee of a recently listed company may be exempt from the independence requirements set forth in Rule 10A-3(b)(1) for up to one year after the date of the offering’s effectiveness. The Company has decided to rely on this exception, and the Board has determined that such reliance will not materially adversely affect the ability of the Audit Committee to act independently and to satisfy the other applicable requirements of the SEC and the NASDAQ rules. The Company’s initial public offering became effective on June 27, 2013; therefore, Mr. Frenkiel is permitted to remain on the Audit Committee through June 27, 2014 in reliance on this exception.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Messrs. Pittman and Dahnke are currently members of the Compensation Committee and are affiliated with Argentia and Catterton, respectively. Pursuant to applicable SEC and NASDAQ requirements, the Board of Directors considered all factors specifically relevant to determining whether either of these directors had or has a relationship which is material to that director’s ability to be independent from management in connection with their duties as members of the Compensation Committee, including these affiliations, and the Board determined that these directors are independent for purposes of serving on the Board of Directors and its Compensation Committee.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Kevin Reddy serves as Chairman of the Board and as Chief Executive Officer. Our Board of Directors believes that the current Board leadership structure, coupled with a strong emphasis on Board independence, provides effective independent oversight of management while allowing the Board and management to benefit from Mr. Reddy’s extensive executive leadership and operational experience, including his many years of experience as a restaurant operating company executive and his experience and familiarity with our business as Chief Executive Officer. Independent directors and management sometimes have different perspectives and roles in strategy development. Our independent directors bring experience, oversight and expertise from outside of our company, while Messrs. Reddy and Kinsey bring company-specific experience and expertise. The Board of Directors believes that Mr. Reddy’s combined role enables strong leadership, creates clear accountability and enhances our ability to communicate our message and strategy clearly and consistently to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 Independent Director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directors serving on our Board appointed Scott Dahnke to serve as our lead independent director. As lead independent director, Mr. Dahnke presides over meetings of the Board at which the Chairman is not present, including executive sessions at which only our independent directors are present, serves as a liaison between the Chairman and the independent directors, approves information sent to the Board, approves the agenda and schedule for Board meetings to provide that there is sufficient time for discussion of all agenda items, is available for consultation and communication with major stockholders upon request, has the authority to call executive sessions of the independent directors and performs such additional duties as our Board of Directors may otherwise determine and delegate.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 of Independent Directors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order to promote open discussion among independent directors, our Board of Directors has a policy of conducting executive sessions of independent directors during each regularly scheduled Board meeting and at such other times as may be requested by an independent director. These executive sessions are chaired by our lead independent director. The lead independent director provides feedback to our Chief Executive Officer, as needed, promptly after the executive session.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Governance Guidelines are available on our website at investor.noodles.com.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Code of Business Conduct and Ethics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We have adopted a code of business conduct and ethics that applies to all of our officers and employees, including our Chief Executive Officer and Chief Financial Officer and those officers and employees responsible for financial reporting. We have also adopted a director code of business conduct and ethics that applies to our directors. The full te</w:t>
      </w:r>
      <w:r>
        <w:rPr>
          <w:rFonts w:ascii="Arial" w:cs="Arial" w:eastAsia="Arial" w:hAnsi="Arial"/>
          <w:sz w:val="18"/>
          <w:szCs w:val="18"/>
          <w:color w:val="000000"/>
        </w:rPr>
        <w:t>xt of our codes of business conduct and ethics are posted on the investor relations section of our website at</w:t>
      </w:r>
      <w:r>
        <w:rPr>
          <w:rFonts w:ascii="Arial" w:cs="Arial" w:eastAsia="Arial" w:hAnsi="Arial"/>
          <w:sz w:val="18"/>
          <w:szCs w:val="18"/>
          <w:color w:val="231F20"/>
        </w:rPr>
        <w:t xml:space="preserve"> </w:t>
      </w:r>
      <w:r>
        <w:rPr>
          <w:rFonts w:ascii="Arial" w:cs="Arial" w:eastAsia="Arial" w:hAnsi="Arial"/>
          <w:sz w:val="18"/>
          <w:szCs w:val="18"/>
          <w:color w:val="000000"/>
        </w:rPr>
        <w:t xml:space="preserve">investor.noodles.com. We </w:t>
      </w:r>
      <w:r>
        <w:rPr>
          <w:rFonts w:ascii="Arial" w:cs="Arial" w:eastAsia="Arial" w:hAnsi="Arial"/>
          <w:sz w:val="18"/>
          <w:szCs w:val="18"/>
          <w:color w:val="231F20"/>
        </w:rPr>
        <w:t>intend to disclose future amendments to our codes of business conduct and ethics, or any waivers of their provisions that we grant</w:t>
      </w:r>
      <w:r>
        <w:rPr>
          <w:rFonts w:ascii="Arial" w:cs="Arial" w:eastAsia="Arial" w:hAnsi="Arial"/>
          <w:sz w:val="18"/>
          <w:szCs w:val="18"/>
          <w:color w:val="000000"/>
        </w:rPr>
        <w:t xml:space="preserve"> </w:t>
      </w:r>
      <w:r>
        <w:rPr>
          <w:rFonts w:ascii="Arial" w:cs="Arial" w:eastAsia="Arial" w:hAnsi="Arial"/>
          <w:sz w:val="18"/>
          <w:szCs w:val="18"/>
          <w:color w:val="231F20"/>
        </w:rPr>
        <w:t>to our directors or executive officers on our website.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2013, the Board of Directors held six meetings. Each director attended at least 75% of the aggregate of the total number of meetings of the Board of Directors and the total number of meetings held by any of the committees of the Board of Directors on which such director served.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Controlled Company Exemption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Because Catterton and Argentia, a subsidiary of PSPIB (collectively, our “Sponsors”) control more than 50% of our common stock, we are a “controlled company” within the meaning of the NASDAQ corporate governance standards. The “controlled company” exception available under the NASDAQ rules eliminates certain requirements, such as the requirements that a company have a majority of independent directors on its Board of Directors, that compensation of the executive officers be determined, or recommended to the Board of Directors for determination, by a compensation committee comprised solely of independent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directors, and that director nominees be selected, or recommended for the Board of Directors’ selection, by a majority of the independent directors or a nominations committee comprised solely of independent directors. In the event that we cease to be a controlled company, we will be required to comply with these provisions within the transition periods specified in the NASDAQ rules. These exemptions do not modify the independence requirements for our Audit Committee, and we intend to comply with the applicable requirements of the SEC and the NASDAQ rules, as discussed above, with respect to our Audit Committee within the applicable time frame.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Board’s Role in Risk Oversight</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231F20"/>
        </w:rPr>
        <w:t>The Board of Directors oversees the Company’s risk management process. The Board oversees a Company-wide approach to risk management, designed to enhance stockholder value, support the achievement of strategic objectives and improve long-term organizational performance. The Board determines the appropriate level of risk for the Company generally, assesses the specific risks faced by the Company and reviews the steps taken by management to manage those risks. The Board’s involvement in setting the Company’s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out of various aspects of the Company’s strategy and the implementation of that strategy, including financial, legal/compliance, operational/strategic, health and safety, and compensation risks. The Board also considers risk when evaluating proposed transactions and other matters presented to the Board, including acquisitions and financial matters.</w:t>
      </w:r>
    </w:p>
    <w:p>
      <w:pPr>
        <w:spacing w:after="0" w:line="11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231F20"/>
        </w:rPr>
        <w:t>While the Board maintains the ultimate oversight responsibility for the risk management process, its committees oversee risk in certain specified areas. In particular, the Audit Committee reviews and discusses the Company’s practices with respect to risk assessment and risk management. The Audit Committee also focuses on financial risk, including internal controls, and discusses the Company’s risk profile with the Company’s independent registered public accounting firm. In addition, the Audit Committee oversees the Company’s compliance program with respect to legal and regulatory requirements, including the Company’s codes of conduct and policies and procedures for monitoring compliance. The Compensation Committee periodically reviews compensation practices and policies to determine whether they encourage excessive risk taking, including an annual review of management’s assessment of the risk associated with the Company’s compensation programs covering its employees, including executives, and discusses the concept of risk as it relates to the Company’s compensation programs. Finally, the Nominating and Corporate Governance Committee oversees risks associated with the independence of directors and Board nominees. Management regularly reports on applicable risks to the relevant committee or the Board, as appropriate, including reports on significant Company projects, with additional review or reporting on risks being conducted as needed or as requested by the Board and its committees.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Board Committees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Audit Committee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31F20"/>
        </w:rPr>
        <w:t>Our Audit Committee, which met seven times in 2013, is currently composed of Jeffrey Jones, Stuart Frenkiel and James Rand, each of whom is a non-employee, independent member of our Board of Directors. Mr. Jones is the Chairman of the Audit Committee and our Audit Committee financial expert, as currently defined under SEC rules. Each member of the Audit Committee meets the requirements for financial literacy under the applicable NASDAQ rules. The composition of our Audit Committee complies with all applicable requirements of the SEC and the listing requirements of NASDAQ. All of our Audit Committee members meet the additional, heightened independence criteria applicable to directors serving on the Audit Committee under NASDAQ rules and SEC rules, except as discussed above with regard to our reliance on an exception under Rule 10A-3(b)(1)(iv) for Mr. Frenkiel.</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 xml:space="preserve">The Audit Committee operates under a written charter, available on our website </w:t>
      </w:r>
      <w:r>
        <w:rPr>
          <w:rFonts w:ascii="Arial" w:cs="Arial" w:eastAsia="Arial" w:hAnsi="Arial"/>
          <w:sz w:val="18"/>
          <w:szCs w:val="18"/>
          <w:color w:val="000000"/>
        </w:rPr>
        <w:t>at investor.noodles.com, t</w:t>
      </w:r>
      <w:r>
        <w:rPr>
          <w:rFonts w:ascii="Arial" w:cs="Arial" w:eastAsia="Arial" w:hAnsi="Arial"/>
          <w:sz w:val="18"/>
          <w:szCs w:val="18"/>
          <w:color w:val="231F20"/>
        </w:rPr>
        <w:t>hat satisfies the applicable standards of the SEC and the listing requirements of NASDAQ, and oversees our corporate accounting and financial reporting process. The Audit Committee's responsibilities include, but are not limited to:</w:t>
      </w:r>
    </w:p>
    <w:p>
      <w:pPr>
        <w:spacing w:after="0" w:line="181" w:lineRule="exact"/>
        <w:rPr>
          <w:sz w:val="20"/>
          <w:szCs w:val="20"/>
          <w:color w:val="auto"/>
        </w:rPr>
      </w:pPr>
    </w:p>
    <w:p>
      <w:pPr>
        <w:ind w:left="900" w:hanging="17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231F20"/>
        </w:rPr>
        <w:t>appointing, compensating, retaining and overseeing our independent registered public accounting firm;</w:t>
      </w:r>
    </w:p>
    <w:p>
      <w:pPr>
        <w:spacing w:after="0" w:line="23" w:lineRule="exact"/>
        <w:rPr>
          <w:rFonts w:ascii="Arial" w:cs="Arial" w:eastAsia="Arial" w:hAnsi="Arial"/>
          <w:sz w:val="18"/>
          <w:szCs w:val="18"/>
          <w:color w:val="auto"/>
        </w:rPr>
      </w:pPr>
    </w:p>
    <w:p>
      <w:pPr>
        <w:ind w:left="900" w:hanging="176"/>
        <w:spacing w:after="0" w:line="25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in advance all audit and permissible non-audit services to be provided by the outside auditor, and establishing policies and procedures for the pre-approval of audit and permissible non-audit services to be provided by the outside auditor;</w:t>
      </w:r>
    </w:p>
    <w:p>
      <w:pPr>
        <w:ind w:left="900" w:hanging="17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least annually, reviewing the independence of the outside auditor;</w:t>
      </w:r>
    </w:p>
    <w:p>
      <w:pPr>
        <w:spacing w:after="0" w:line="9" w:lineRule="exact"/>
        <w:rPr>
          <w:rFonts w:ascii="Arial" w:cs="Arial" w:eastAsia="Arial" w:hAnsi="Arial"/>
          <w:sz w:val="18"/>
          <w:szCs w:val="18"/>
          <w:color w:val="auto"/>
        </w:rPr>
      </w:pPr>
    </w:p>
    <w:p>
      <w:pPr>
        <w:ind w:left="900" w:hanging="17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least annually, obtaining and reviewing a report by the outside auditor describing, among other things, its internal quality-control procedures;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00" w:hanging="176"/>
        <w:spacing w:after="0" w:line="25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meeting to review and discuss with management and the outside auditor the annual audited and quarterly financial statements of the Company and the independent auditor’s reports related to the financial statements;</w:t>
      </w:r>
    </w:p>
    <w:p>
      <w:pPr>
        <w:spacing w:after="0" w:line="1" w:lineRule="exact"/>
        <w:rPr>
          <w:rFonts w:ascii="Arial" w:cs="Arial" w:eastAsia="Arial" w:hAnsi="Arial"/>
          <w:sz w:val="18"/>
          <w:szCs w:val="18"/>
          <w:color w:val="auto"/>
        </w:rPr>
      </w:pPr>
    </w:p>
    <w:p>
      <w:pPr>
        <w:jc w:val="both"/>
        <w:ind w:left="900" w:hanging="176"/>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receiving reports from the outside auditor and management regarding, and reviewing and discussing the adequacy and effectiveness of, the Company’s internal controls, including any significant deficiencies in internal controls and significant changes in internal controls reported to the Audit Committee by the outside auditor or management;</w:t>
      </w:r>
    </w:p>
    <w:p>
      <w:pPr>
        <w:spacing w:after="0" w:line="1" w:lineRule="exact"/>
        <w:rPr>
          <w:rFonts w:ascii="Arial" w:cs="Arial" w:eastAsia="Arial" w:hAnsi="Arial"/>
          <w:sz w:val="18"/>
          <w:szCs w:val="18"/>
          <w:color w:val="auto"/>
        </w:rPr>
      </w:pPr>
    </w:p>
    <w:p>
      <w:pPr>
        <w:ind w:left="900" w:hanging="176"/>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receiving reports from management regarding, and reviewing and discussing the adequacy and effectiveness of, the Company’s disclosure controls and procedures;</w:t>
      </w:r>
    </w:p>
    <w:p>
      <w:pPr>
        <w:ind w:left="900" w:hanging="176"/>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discussing earnings press releases, and corporate practices with respect to earnings press releases and financial information and earnings guidance provided to analysts;</w:t>
      </w:r>
    </w:p>
    <w:p>
      <w:pPr>
        <w:ind w:left="900" w:hanging="176"/>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overseeing the Company’s compliance program with respect to legal and regulatory requirements, including the Company’s Codes of Business Conduct and Ethics and the Company’s policies and procedures for monitoring compliance;</w:t>
      </w:r>
    </w:p>
    <w:p>
      <w:pPr>
        <w:ind w:left="900" w:hanging="17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discussing the Company’s practices with respect to risk assessment and risk management;</w:t>
      </w:r>
    </w:p>
    <w:p>
      <w:pPr>
        <w:spacing w:after="0" w:line="9" w:lineRule="exact"/>
        <w:rPr>
          <w:rFonts w:ascii="Arial" w:cs="Arial" w:eastAsia="Arial" w:hAnsi="Arial"/>
          <w:sz w:val="18"/>
          <w:szCs w:val="18"/>
          <w:color w:val="auto"/>
        </w:rPr>
      </w:pPr>
    </w:p>
    <w:p>
      <w:pPr>
        <w:ind w:left="900" w:hanging="17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and oversee procedures for handling reports of potential misconduct; and</w:t>
      </w:r>
    </w:p>
    <w:p>
      <w:pPr>
        <w:spacing w:after="0" w:line="9" w:lineRule="exact"/>
        <w:rPr>
          <w:rFonts w:ascii="Arial" w:cs="Arial" w:eastAsia="Arial" w:hAnsi="Arial"/>
          <w:sz w:val="18"/>
          <w:szCs w:val="18"/>
          <w:color w:val="auto"/>
        </w:rPr>
      </w:pPr>
    </w:p>
    <w:p>
      <w:pPr>
        <w:ind w:left="900" w:hanging="17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establishing and periodically reviewing policies and procedures for the review, approval and ratification of related person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Compensation Committee</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231F20"/>
        </w:rPr>
        <w:t>Our Compensation Committee, which met twice in 2013, is currently composed of Scott Dahnke and James Pittman, each of whom is a non-employee, independent member of our Board of Directors. Mr. Dahnke is the Chairman of the Compensation Committee. All of our Compensation Committee members meet the additional, heightened independence criteria applicable to directors serving on the Compensation Committee under NASDAQ rules. The Compensation Committee operates under a written charter, available on our website a</w:t>
      </w:r>
      <w:r>
        <w:rPr>
          <w:rFonts w:ascii="Arial" w:cs="Arial" w:eastAsia="Arial" w:hAnsi="Arial"/>
          <w:sz w:val="17"/>
          <w:szCs w:val="17"/>
          <w:color w:val="000000"/>
        </w:rPr>
        <w:t>t investor.noodles.com,</w:t>
      </w:r>
      <w:r>
        <w:rPr>
          <w:rFonts w:ascii="Arial" w:cs="Arial" w:eastAsia="Arial" w:hAnsi="Arial"/>
          <w:sz w:val="17"/>
          <w:szCs w:val="17"/>
          <w:color w:val="231F20"/>
        </w:rPr>
        <w:t xml:space="preserve"> that satisfies the applicable standards of the SEC and NASDAQ. The Compensation Committee's responsibilities include, but are not limited to:</w:t>
      </w:r>
    </w:p>
    <w:p>
      <w:pPr>
        <w:spacing w:after="0" w:line="335" w:lineRule="exact"/>
        <w:rPr>
          <w:sz w:val="20"/>
          <w:szCs w:val="20"/>
          <w:color w:val="auto"/>
        </w:rPr>
      </w:pPr>
    </w:p>
    <w:p>
      <w:pPr>
        <w:ind w:left="900" w:hanging="163"/>
        <w:spacing w:after="0" w:line="258" w:lineRule="auto"/>
        <w:tabs>
          <w:tab w:leader="none" w:pos="882"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overseeing the Company’s overall compensation philosophy, policies and programs, and assessing whether the Company’s compensation philosophy establishes appropriate incentives for management and employees;</w:t>
      </w:r>
    </w:p>
    <w:p>
      <w:pPr>
        <w:spacing w:after="0" w:line="1" w:lineRule="exact"/>
        <w:rPr>
          <w:rFonts w:ascii="Arial" w:cs="Arial" w:eastAsia="Arial" w:hAnsi="Arial"/>
          <w:sz w:val="18"/>
          <w:szCs w:val="18"/>
          <w:color w:val="auto"/>
        </w:rPr>
      </w:pPr>
    </w:p>
    <w:p>
      <w:pPr>
        <w:jc w:val="both"/>
        <w:ind w:left="900" w:hanging="163"/>
        <w:spacing w:after="0" w:line="250" w:lineRule="auto"/>
        <w:tabs>
          <w:tab w:leader="none" w:pos="882"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reviewing and approving corporate goals and objectives relevant to the compensation of the Chief Executive Officer, evaluating the Chief Executive Officer’s performance in light of those goals and objectives, setting the Chief Executive Officer’s compensation level based on this evaluation, and approving the grant of equity awards to the Chief Executive Officer;</w:t>
      </w:r>
    </w:p>
    <w:p>
      <w:pPr>
        <w:spacing w:after="0" w:line="1" w:lineRule="exact"/>
        <w:rPr>
          <w:rFonts w:ascii="Arial" w:cs="Arial" w:eastAsia="Arial" w:hAnsi="Arial"/>
          <w:sz w:val="18"/>
          <w:szCs w:val="18"/>
          <w:color w:val="auto"/>
        </w:rPr>
      </w:pPr>
    </w:p>
    <w:p>
      <w:pPr>
        <w:ind w:left="900" w:hanging="163"/>
        <w:spacing w:after="0" w:line="250" w:lineRule="auto"/>
        <w:tabs>
          <w:tab w:leader="none" w:pos="882"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setting the compensation of other executive officers (including the terms of equity awards) based upon the recommendation of the Chief Executive Officer;</w:t>
      </w:r>
    </w:p>
    <w:p>
      <w:pPr>
        <w:ind w:left="900" w:hanging="163"/>
        <w:spacing w:after="0" w:line="250" w:lineRule="auto"/>
        <w:tabs>
          <w:tab w:leader="none" w:pos="882"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administering and making recommendations to the Board with respect to the Company’s incentive compensation and equity-based compensation plans that are subject to Board approval;</w:t>
      </w:r>
    </w:p>
    <w:p>
      <w:pPr>
        <w:ind w:left="880" w:hanging="14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reviewing and approving the design of other benefit plans pertaining to executive officers;</w:t>
      </w:r>
    </w:p>
    <w:p>
      <w:pPr>
        <w:spacing w:after="0" w:line="9" w:lineRule="exact"/>
        <w:rPr>
          <w:rFonts w:ascii="Arial" w:cs="Arial" w:eastAsia="Arial" w:hAnsi="Arial"/>
          <w:sz w:val="18"/>
          <w:szCs w:val="18"/>
          <w:color w:val="auto"/>
        </w:rPr>
      </w:pPr>
    </w:p>
    <w:p>
      <w:pPr>
        <w:ind w:left="880" w:hanging="14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approv</w:t>
      </w:r>
      <w:r>
        <w:rPr>
          <w:rFonts w:ascii="Arial" w:cs="Arial" w:eastAsia="Arial" w:hAnsi="Arial"/>
          <w:sz w:val="18"/>
          <w:szCs w:val="18"/>
          <w:color w:val="000000"/>
        </w:rPr>
        <w:t>ing</w:t>
      </w:r>
      <w:r>
        <w:rPr>
          <w:rFonts w:ascii="Arial" w:cs="Arial" w:eastAsia="Arial" w:hAnsi="Arial"/>
          <w:sz w:val="18"/>
          <w:szCs w:val="18"/>
          <w:color w:val="231F20"/>
        </w:rPr>
        <w:t>, and amend</w:t>
      </w:r>
      <w:r>
        <w:rPr>
          <w:rFonts w:ascii="Arial" w:cs="Arial" w:eastAsia="Arial" w:hAnsi="Arial"/>
          <w:sz w:val="18"/>
          <w:szCs w:val="18"/>
          <w:color w:val="000000"/>
        </w:rPr>
        <w:t>ing</w:t>
      </w:r>
      <w:r>
        <w:rPr>
          <w:rFonts w:ascii="Arial" w:cs="Arial" w:eastAsia="Arial" w:hAnsi="Arial"/>
          <w:sz w:val="18"/>
          <w:szCs w:val="18"/>
          <w:color w:val="231F20"/>
        </w:rPr>
        <w:t xml:space="preserve"> or modify</w:t>
      </w:r>
      <w:r>
        <w:rPr>
          <w:rFonts w:ascii="Arial" w:cs="Arial" w:eastAsia="Arial" w:hAnsi="Arial"/>
          <w:sz w:val="18"/>
          <w:szCs w:val="18"/>
          <w:color w:val="000000"/>
        </w:rPr>
        <w:t>ing</w:t>
      </w:r>
      <w:r>
        <w:rPr>
          <w:rFonts w:ascii="Arial" w:cs="Arial" w:eastAsia="Arial" w:hAnsi="Arial"/>
          <w:sz w:val="18"/>
          <w:szCs w:val="18"/>
          <w:color w:val="231F20"/>
        </w:rPr>
        <w:t>, terms of other compensation and benefit plans as appropriate;</w:t>
      </w:r>
    </w:p>
    <w:p>
      <w:pPr>
        <w:spacing w:after="0" w:line="9" w:lineRule="exact"/>
        <w:rPr>
          <w:rFonts w:ascii="Arial" w:cs="Arial" w:eastAsia="Arial" w:hAnsi="Arial"/>
          <w:sz w:val="18"/>
          <w:szCs w:val="18"/>
          <w:color w:val="auto"/>
        </w:rPr>
      </w:pPr>
    </w:p>
    <w:p>
      <w:pPr>
        <w:ind w:left="900" w:hanging="163"/>
        <w:spacing w:after="0" w:line="250" w:lineRule="auto"/>
        <w:tabs>
          <w:tab w:leader="none" w:pos="882"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reviewing and recommending to the Board employment and severance arrangements for executive officers, including employment agreements and change-in-control provisions, plans or agreements;</w:t>
      </w:r>
    </w:p>
    <w:p>
      <w:pPr>
        <w:ind w:left="900" w:hanging="163"/>
        <w:spacing w:after="0" w:line="250" w:lineRule="auto"/>
        <w:tabs>
          <w:tab w:leader="none" w:pos="882"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annually reviewing the compensation of directors for service on the Board and its committees and recommending changes in compensation to the Board as appropriate;</w:t>
      </w:r>
    </w:p>
    <w:p>
      <w:pPr>
        <w:ind w:left="880" w:hanging="14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overseeing the assessment of risks related to the Company’s compensation policies and programs; and</w:t>
      </w:r>
    </w:p>
    <w:p>
      <w:pPr>
        <w:spacing w:after="0" w:line="9" w:lineRule="exact"/>
        <w:rPr>
          <w:rFonts w:ascii="Arial" w:cs="Arial" w:eastAsia="Arial" w:hAnsi="Arial"/>
          <w:sz w:val="18"/>
          <w:szCs w:val="18"/>
          <w:color w:val="auto"/>
        </w:rPr>
      </w:pPr>
    </w:p>
    <w:p>
      <w:pPr>
        <w:ind w:left="880" w:hanging="14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annually reviewing an assessment of any potential conflicts of interest raised by the work of compensation consultants.</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Pursuant to the terms of its charter, the Compensation Committee may delegate its duties and responsibilities to one or more subcommittees, consisting of not less than two members of the Committee.</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Chief Executive Officer, Kevin Reddy, makes recommendations to the Compensation Committee regarding the compensation of the other executive officers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Compensation Committee Interlocks and Insider Participation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None of the members of our Compensation Committee is, or has at any time been, an officer or employee of The Company. None of our executive officers currently serves, or in the past year has served, as a member of the Board of Directors or Compensation Committee of any other entity that has one or more executive officers serving on our Board of Directors or Compensation Committee. No directors served on the Compensation Committee in 2013 other than Messrs. Dahnke and Pittman, the two directors currently serving on such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Nominating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Our Nominating Committee, which did not meet in 2013, is currently composed of Messrs. Scott Dahnke and Stuart Frenkiel, each of whom is a non-employee, independent member of our Board of Directors. Mr. Dahnke is the Chairman of the Nominating Committee. The Nominating Committee operates under a written charter, available on our websi</w:t>
      </w:r>
      <w:r>
        <w:rPr>
          <w:rFonts w:ascii="Arial" w:cs="Arial" w:eastAsia="Arial" w:hAnsi="Arial"/>
          <w:sz w:val="18"/>
          <w:szCs w:val="18"/>
          <w:color w:val="000000"/>
        </w:rPr>
        <w:t>te at investor.noodles.com,</w:t>
      </w:r>
      <w:r>
        <w:rPr>
          <w:rFonts w:ascii="Arial" w:cs="Arial" w:eastAsia="Arial" w:hAnsi="Arial"/>
          <w:sz w:val="18"/>
          <w:szCs w:val="18"/>
          <w:color w:val="231F20"/>
        </w:rPr>
        <w:t xml:space="preserve"> that satisfies the applicable standards of the SEC and NASDAQ. The Nominating Committee's responsibilities include, but are not limited to:</w:t>
      </w:r>
    </w:p>
    <w:p>
      <w:pPr>
        <w:spacing w:after="0" w:line="187" w:lineRule="exact"/>
        <w:rPr>
          <w:sz w:val="20"/>
          <w:szCs w:val="20"/>
          <w:color w:val="auto"/>
        </w:rPr>
      </w:pPr>
    </w:p>
    <w:p>
      <w:pPr>
        <w:ind w:left="900" w:hanging="176"/>
        <w:spacing w:after="0" w:line="25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developing and recommending to the Board criteria for Board membership, including assessing the contributions and independence of incumbent directors in determining whether to recommend them for re-election;</w:t>
      </w:r>
    </w:p>
    <w:p>
      <w:pPr>
        <w:spacing w:after="0" w:line="1" w:lineRule="exact"/>
        <w:rPr>
          <w:rFonts w:ascii="Arial" w:cs="Arial" w:eastAsia="Arial" w:hAnsi="Arial"/>
          <w:sz w:val="18"/>
          <w:szCs w:val="18"/>
          <w:color w:val="auto"/>
        </w:rPr>
      </w:pPr>
    </w:p>
    <w:p>
      <w:pPr>
        <w:ind w:left="900" w:hanging="17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identifying, reviewing the qualifications of and recommending candidates for election to the Board;</w:t>
      </w:r>
    </w:p>
    <w:p>
      <w:pPr>
        <w:spacing w:after="0" w:line="9" w:lineRule="exact"/>
        <w:rPr>
          <w:rFonts w:ascii="Arial" w:cs="Arial" w:eastAsia="Arial" w:hAnsi="Arial"/>
          <w:sz w:val="18"/>
          <w:szCs w:val="18"/>
          <w:color w:val="auto"/>
        </w:rPr>
      </w:pPr>
    </w:p>
    <w:p>
      <w:pPr>
        <w:ind w:left="900" w:right="20" w:hanging="176"/>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procedures for the consideration of Board candidates recommended for the Committee’s consideration by the Company’s stockholders;</w:t>
      </w:r>
    </w:p>
    <w:p>
      <w:pPr>
        <w:ind w:left="900" w:hanging="17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recommending to the Board the Company’s candidates for election or re-election to the Board at each annual stockholders’ meeting;</w:t>
      </w:r>
    </w:p>
    <w:p>
      <w:pPr>
        <w:spacing w:after="0" w:line="20" w:lineRule="exact"/>
        <w:rPr>
          <w:rFonts w:ascii="Arial" w:cs="Arial" w:eastAsia="Arial" w:hAnsi="Arial"/>
          <w:sz w:val="17"/>
          <w:szCs w:val="17"/>
          <w:color w:val="auto"/>
        </w:rPr>
      </w:pPr>
    </w:p>
    <w:p>
      <w:pPr>
        <w:ind w:left="900" w:hanging="17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recommending to the Board candidates to be elected by the Board as necessary to fill vacancies and newly created directorships;</w:t>
      </w:r>
    </w:p>
    <w:p>
      <w:pPr>
        <w:spacing w:after="0" w:line="9" w:lineRule="exact"/>
        <w:rPr>
          <w:rFonts w:ascii="Arial" w:cs="Arial" w:eastAsia="Arial" w:hAnsi="Arial"/>
          <w:sz w:val="18"/>
          <w:szCs w:val="18"/>
          <w:color w:val="auto"/>
        </w:rPr>
      </w:pPr>
    </w:p>
    <w:p>
      <w:pPr>
        <w:jc w:val="both"/>
        <w:ind w:left="900" w:hanging="176"/>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 annually reviewing those principles and recommending changes to the Board as appropriate; making recommendations to the Board concerning the size, structure, composition and functioning of the Board and its committees;</w:t>
      </w:r>
    </w:p>
    <w:p>
      <w:pPr>
        <w:spacing w:after="0" w:line="1" w:lineRule="exact"/>
        <w:rPr>
          <w:rFonts w:ascii="Arial" w:cs="Arial" w:eastAsia="Arial" w:hAnsi="Arial"/>
          <w:sz w:val="18"/>
          <w:szCs w:val="18"/>
          <w:color w:val="auto"/>
        </w:rPr>
      </w:pPr>
    </w:p>
    <w:p>
      <w:pPr>
        <w:ind w:left="900" w:hanging="17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recommending committee members and chairpersons to the Board for appointment; and</w:t>
      </w:r>
    </w:p>
    <w:p>
      <w:pPr>
        <w:spacing w:after="0" w:line="9" w:lineRule="exact"/>
        <w:rPr>
          <w:rFonts w:ascii="Arial" w:cs="Arial" w:eastAsia="Arial" w:hAnsi="Arial"/>
          <w:sz w:val="18"/>
          <w:szCs w:val="18"/>
          <w:color w:val="auto"/>
        </w:rPr>
      </w:pPr>
    </w:p>
    <w:p>
      <w:pPr>
        <w:ind w:left="900" w:hanging="176"/>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establishing and periodically reviewing policies and procedures for the review, approval and ratification of related person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Regarding Stockholder Recommendations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identifies new director candidates through a variety of sources. The Nominating Committee will consider director candidates recommended by stockholders in the same manner it considers other candidates, as described below. Stockholders seeking to recommend candidates for consideration by the Nominating Committee should submit a recommendation in writing describing the candidate's qualifications and other relevant biographical information and provide confirmation of the candidate's consent to serve as director. Please submit this information to the Corporate Secretary, Noodles &amp; Company, 520 Zang Street, Suite D, Broomfield, CO 80021, or by email at investorrelations@noodles.com.</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Stockholders may also propose director nominees by adhering to the advance notice procedure described under “Stockholder Proposals” elsewhere in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Nominating Committee and the Board believe that candidates for director should have certain minimum qualifications, including, without limitation:</w:t>
      </w:r>
    </w:p>
    <w:p>
      <w:pPr>
        <w:spacing w:after="0" w:line="248" w:lineRule="exact"/>
        <w:rPr>
          <w:sz w:val="20"/>
          <w:szCs w:val="20"/>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demonstrated business acumen and leadership, and high levels of accomplishment;</w:t>
      </w:r>
    </w:p>
    <w:p>
      <w:pPr>
        <w:spacing w:after="0" w:line="23"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exercise sound business judgment and to provide insight and practical wisdom based on experience;</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 to understand the Company and its business, industry and strategic objectives;</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integrity and adherence to high personal ethics and values, consistent with our Code of Business Conduct and Ethics;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00" w:hanging="1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read and understand financial statements and other financial information pertaining to the Company;</w:t>
      </w:r>
    </w:p>
    <w:p>
      <w:pPr>
        <w:spacing w:after="0" w:line="23" w:lineRule="exact"/>
        <w:rPr>
          <w:rFonts w:ascii="Arial" w:cs="Arial" w:eastAsia="Arial" w:hAnsi="Arial"/>
          <w:sz w:val="18"/>
          <w:szCs w:val="18"/>
          <w:color w:val="auto"/>
        </w:rPr>
      </w:pPr>
    </w:p>
    <w:p>
      <w:pPr>
        <w:ind w:left="900" w:hanging="1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commitment to enhancing stockholder value;</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willingness to act in the interest of all stockholders; and</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non-employee directors, independence under NASDAQ listing standards and other applicable rules and regulations.</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the context of the Board’s existing composition, other requirements, such as restaurant industry experience or experience in a particular business discipline, that are expected to contribute to the Board’s overall effectiveness and meet the needs of the Board and its committees may be considered. The Company values diversity on a company-wide basis and seeks to achieve a diversity of occupational and personal backgrounds on the Board, but has not adopted a specific policy regarding Board diversity. The Nominating Committee assesses the effectiveness of its efforts at pursuing diversity through its periodic evaluation of the Board’s composition.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Audit Committee of the Board of Directors has selected Ernst &amp; Young LLP, or Ernst &amp; Young, to be the Company’s independent registered public accounting firm for the year ending December 30, 2014, and recommends that the stockholders vote for ratification of such appointment. Ernst &amp; Young has been engaged as our independent registered public accounting firm since 2009. As a matter of good corporate governance, the Audit Committee has requested the Board of Directors to submit the selection of Ernst &amp; Young as the Company's independent registered public accounting firm for 2014 to stockholders for ratification. In the event of a negative vote on such ratification, the Audit Committee will reconsider its selection. We expect representatives of Ernst &amp; Young to be present at the Annual Meeting. They will have the opportunity to make a statement at the Annual Meeting if they desire to do so, and will be available to respond to appropriate questions.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Related Fees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aggregate fees billed for professional services rendered by Ernst &amp; Young for the audit of our financial statements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and 2012 and the aggregate fees for other services rendered by Ernst &amp; Young billed in those periods: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2012</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1,323,234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149,256</w:t>
            </w:r>
          </w:p>
        </w:tc>
      </w:tr>
      <w:tr>
        <w:trPr>
          <w:trHeight w:val="284"/>
        </w:trPr>
        <w:tc>
          <w:tcPr>
            <w:tcW w:w="7900" w:type="dxa"/>
            <w:vAlign w:val="bottom"/>
          </w:tcPr>
          <w:p>
            <w:pPr>
              <w:ind w:left="40"/>
              <w:spacing w:after="0" w:line="283" w:lineRule="exact"/>
              <w:rPr>
                <w:sz w:val="20"/>
                <w:szCs w:val="20"/>
                <w:color w:val="auto"/>
              </w:rPr>
            </w:pPr>
            <w:r>
              <w:rPr>
                <w:rFonts w:ascii="Arial" w:cs="Arial" w:eastAsia="Arial" w:hAnsi="Arial"/>
                <w:sz w:val="18"/>
                <w:szCs w:val="18"/>
                <w:color w:val="auto"/>
              </w:rPr>
              <w:t>Audit Related fees</w:t>
            </w:r>
            <w:r>
              <w:rPr>
                <w:rFonts w:ascii="Arial" w:cs="Arial" w:eastAsia="Arial" w:hAnsi="Arial"/>
                <w:sz w:val="25"/>
                <w:szCs w:val="25"/>
                <w:color w:val="auto"/>
                <w:vertAlign w:val="superscript"/>
              </w:rPr>
              <w:t>(2)</w:t>
            </w:r>
          </w:p>
        </w:tc>
        <w:tc>
          <w:tcPr>
            <w:tcW w:w="40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2,167</w:t>
            </w:r>
          </w:p>
        </w:tc>
      </w:tr>
      <w:tr>
        <w:trPr>
          <w:trHeight w:val="284"/>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fees</w:t>
            </w:r>
            <w:r>
              <w:rPr>
                <w:rFonts w:ascii="Arial" w:cs="Arial" w:eastAsia="Arial" w:hAnsi="Arial"/>
                <w:sz w:val="21"/>
                <w:szCs w:val="21"/>
                <w:color w:val="auto"/>
                <w:vertAlign w:val="superscript"/>
              </w:rPr>
              <w:t>(3)</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94,355</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103,288</w:t>
            </w:r>
          </w:p>
        </w:tc>
      </w:tr>
      <w:tr>
        <w:trPr>
          <w:trHeight w:val="237"/>
        </w:trPr>
        <w:tc>
          <w:tcPr>
            <w:tcW w:w="7900" w:type="dxa"/>
            <w:vAlign w:val="bottom"/>
          </w:tcPr>
          <w:p>
            <w:pPr>
              <w:ind w:left="420"/>
              <w:spacing w:after="0"/>
              <w:rPr>
                <w:sz w:val="20"/>
                <w:szCs w:val="20"/>
                <w:color w:val="auto"/>
              </w:rPr>
            </w:pPr>
            <w:r>
              <w:rPr>
                <w:rFonts w:ascii="Arial" w:cs="Arial" w:eastAsia="Arial" w:hAnsi="Arial"/>
                <w:sz w:val="18"/>
                <w:szCs w:val="18"/>
                <w:color w:val="auto"/>
              </w:rPr>
              <w:t>Total audit and related fees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1,419,739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254,711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8890</wp:posOffset>
            </wp:positionV>
            <wp:extent cx="223837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145" w:lineRule="exact"/>
        <w:rPr>
          <w:sz w:val="20"/>
          <w:szCs w:val="20"/>
          <w:color w:val="auto"/>
        </w:rPr>
      </w:pPr>
    </w:p>
    <w:p>
      <w:pPr>
        <w:ind w:left="1060" w:right="420" w:hanging="890"/>
        <w:spacing w:after="0" w:line="310" w:lineRule="auto"/>
        <w:tabs>
          <w:tab w:leader="none" w:pos="655" w:val="left"/>
        </w:tabs>
        <w:numPr>
          <w:ilvl w:val="0"/>
          <w:numId w:val="15"/>
        </w:numPr>
        <w:rPr>
          <w:rFonts w:ascii="Arial" w:cs="Arial" w:eastAsia="Arial" w:hAnsi="Arial"/>
          <w:sz w:val="15"/>
          <w:szCs w:val="15"/>
          <w:color w:val="auto"/>
        </w:rPr>
      </w:pPr>
      <w:r>
        <w:rPr>
          <w:rFonts w:ascii="Arial" w:cs="Arial" w:eastAsia="Arial" w:hAnsi="Arial"/>
          <w:sz w:val="15"/>
          <w:szCs w:val="15"/>
          <w:color w:val="auto"/>
        </w:rPr>
        <w:t>2013 and 2012 audit fees and expenses related to the fiscal year audit and interim reviews, notwithstanding when the fees and expenses were billed or when the services were rendered, and additional work performed in connection with the Company’s initial public offering and follow-on offering.</w:t>
      </w:r>
    </w:p>
    <w:p>
      <w:pPr>
        <w:spacing w:after="0" w:line="40" w:lineRule="exact"/>
        <w:rPr>
          <w:rFonts w:ascii="Arial" w:cs="Arial" w:eastAsia="Arial" w:hAnsi="Arial"/>
          <w:sz w:val="15"/>
          <w:szCs w:val="15"/>
          <w:color w:val="auto"/>
        </w:rPr>
      </w:pPr>
    </w:p>
    <w:p>
      <w:pPr>
        <w:ind w:left="660" w:hanging="490"/>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fees for a subscription to an Ernst &amp; Young online service used for accounting research purposes.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Tax fees relate to professional services rendered for tax compliance, tax return review and preparation and related tax advice.</w:t>
      </w:r>
    </w:p>
    <w:p>
      <w:pPr>
        <w:spacing w:after="0" w:line="2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connection with our initial public offering, the Board of Directors has adopted a written policy for the pre-approval of certain audit and non-audit services which Ernst &amp; Young provides. The policy balances the need for Ernst &amp; Young to be independent while recognizing that in certain situations Ernst</w:t>
      </w:r>
    </w:p>
    <w:p>
      <w:pPr>
        <w:jc w:val="both"/>
        <w:ind w:firstLine="8"/>
        <w:spacing w:after="0" w:line="253" w:lineRule="auto"/>
        <w:tabs>
          <w:tab w:leader="none" w:pos="2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Young may possess both the technical expertise and knowledge of the Company to best advise the Company on issues and matters in addition to accounting and auditing. In general, the Company’s independent registered public accounting firm cannot be engaged to provide any audit or non-audit services unless the engagement is pre-approved by the Audit Committee. Certain services may also be pre-approved by the Chairman of the Audit Committee under the policy. All of the fees identified in the table above were approved in accordance with SEC requirements and, following our initial public offering, pursuant to the policies and procedures described above.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services of Ernst &amp; Young for 2013 and 2012 described above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314960</wp:posOffset>
            </wp:positionV>
            <wp:extent cx="685228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2285" cy="18034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The following table sets forth certain information with respect to the beneficial ownership of any class of our common stock as of March 11, 2014 for:</w:t>
      </w:r>
    </w:p>
    <w:p>
      <w:pPr>
        <w:spacing w:after="0" w:line="248" w:lineRule="exact"/>
        <w:rPr>
          <w:sz w:val="20"/>
          <w:szCs w:val="20"/>
          <w:color w:val="auto"/>
        </w:rPr>
      </w:pPr>
    </w:p>
    <w:p>
      <w:pPr>
        <w:ind w:left="900" w:hanging="1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each stockholder known by us to be the beneficial owner of more than 5% of any class of our outstanding shares of common stock;</w:t>
      </w:r>
    </w:p>
    <w:p>
      <w:pPr>
        <w:spacing w:after="0" w:line="23" w:lineRule="exact"/>
        <w:rPr>
          <w:rFonts w:ascii="Arial" w:cs="Arial" w:eastAsia="Arial" w:hAnsi="Arial"/>
          <w:sz w:val="18"/>
          <w:szCs w:val="18"/>
          <w:color w:val="auto"/>
        </w:rPr>
      </w:pPr>
    </w:p>
    <w:p>
      <w:pPr>
        <w:ind w:left="900" w:hanging="1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each of our directors;</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each of our named executive officers; and</w:t>
      </w:r>
    </w:p>
    <w:p>
      <w:pPr>
        <w:spacing w:after="0" w:line="9" w:lineRule="exact"/>
        <w:rPr>
          <w:rFonts w:ascii="Arial" w:cs="Arial" w:eastAsia="Arial" w:hAnsi="Arial"/>
          <w:sz w:val="18"/>
          <w:szCs w:val="18"/>
          <w:color w:val="auto"/>
        </w:rPr>
      </w:pPr>
    </w:p>
    <w:p>
      <w:pPr>
        <w:ind w:left="900" w:hanging="1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231F20"/>
        </w:rPr>
        <w:t>all of our directors and executive officers as a group.</w:t>
      </w:r>
    </w:p>
    <w:p>
      <w:pPr>
        <w:spacing w:after="0" w:line="1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Applicable percentage ownership in the following table is based on 29,706,887 shares of common stock outstanding as of March 11, 2014 (</w:t>
      </w:r>
      <w:r>
        <w:rPr>
          <w:rFonts w:ascii="Arial" w:cs="Arial" w:eastAsia="Arial" w:hAnsi="Arial"/>
          <w:sz w:val="18"/>
          <w:szCs w:val="18"/>
          <w:color w:val="000000"/>
        </w:rPr>
        <w:t>of which</w:t>
      </w:r>
      <w:r>
        <w:rPr>
          <w:rFonts w:ascii="Arial" w:cs="Arial" w:eastAsia="Arial" w:hAnsi="Arial"/>
          <w:sz w:val="18"/>
          <w:szCs w:val="18"/>
          <w:color w:val="231F20"/>
        </w:rPr>
        <w:t xml:space="preserve"> </w:t>
      </w:r>
      <w:r>
        <w:rPr>
          <w:rFonts w:ascii="Arial" w:cs="Arial" w:eastAsia="Arial" w:hAnsi="Arial"/>
          <w:sz w:val="18"/>
          <w:szCs w:val="18"/>
          <w:color w:val="000000"/>
        </w:rPr>
        <w:t xml:space="preserve">28,184,789 were Class A common stock and 1,522,098 were Class B common stock), </w:t>
      </w:r>
      <w:r>
        <w:rPr>
          <w:rFonts w:ascii="Arial" w:cs="Arial" w:eastAsia="Arial" w:hAnsi="Arial"/>
          <w:sz w:val="18"/>
          <w:szCs w:val="18"/>
          <w:color w:val="231F20"/>
        </w:rPr>
        <w:t>unless otherwise indicated in the footnotes below. In computing the</w:t>
      </w:r>
      <w:r>
        <w:rPr>
          <w:rFonts w:ascii="Arial" w:cs="Arial" w:eastAsia="Arial" w:hAnsi="Arial"/>
          <w:sz w:val="18"/>
          <w:szCs w:val="18"/>
          <w:color w:val="000000"/>
        </w:rPr>
        <w:t xml:space="preserve"> </w:t>
      </w:r>
      <w:r>
        <w:rPr>
          <w:rFonts w:ascii="Arial" w:cs="Arial" w:eastAsia="Arial" w:hAnsi="Arial"/>
          <w:sz w:val="18"/>
          <w:szCs w:val="18"/>
          <w:color w:val="231F20"/>
        </w:rPr>
        <w:t xml:space="preserve">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March 11, 2014. We did not deem these shares outstanding, however, for the purpose of computing the percentage ownership of any other person. Unless otherwise indicated, the address of each beneficial owner listed in the table below is c/o </w:t>
      </w:r>
      <w:r>
        <w:rPr>
          <w:rFonts w:ascii="Arial" w:cs="Arial" w:eastAsia="Arial" w:hAnsi="Arial"/>
          <w:sz w:val="18"/>
          <w:szCs w:val="18"/>
          <w:color w:val="000000"/>
        </w:rPr>
        <w:t>Noodles &amp; Company, 520 Zang Street, Suite</w:t>
      </w:r>
      <w:r>
        <w:rPr>
          <w:rFonts w:ascii="Arial" w:cs="Arial" w:eastAsia="Arial" w:hAnsi="Arial"/>
          <w:sz w:val="18"/>
          <w:szCs w:val="18"/>
          <w:color w:val="231F20"/>
        </w:rPr>
        <w:t xml:space="preserve"> </w:t>
      </w:r>
      <w:r>
        <w:rPr>
          <w:rFonts w:ascii="Arial" w:cs="Arial" w:eastAsia="Arial" w:hAnsi="Arial"/>
          <w:sz w:val="18"/>
          <w:szCs w:val="18"/>
          <w:color w:val="000000"/>
        </w:rPr>
        <w:t>D, Broomfield, CO 80021</w:t>
      </w:r>
      <w:r>
        <w:rPr>
          <w:rFonts w:ascii="Arial" w:cs="Arial" w:eastAsia="Arial" w:hAnsi="Arial"/>
          <w:sz w:val="18"/>
          <w:szCs w:val="18"/>
          <w:color w:val="231F20"/>
        </w:rPr>
        <w:t>.</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231F20"/>
        </w:rPr>
        <w:t>As of March 11, 2014, Argentia beneficially owned 1,522,098 shares of Class B common stock, which represented 100% of the outstanding shares of Class B common stock on that date. Class B common stock has the same rights as the common stock except that holders of Class B common stock will not be entitled to vote in the election or removal of directors unless converted into Class A common stock.</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80" w:type="dxa"/>
            <w:vAlign w:val="bottom"/>
            <w:gridSpan w:val="4"/>
          </w:tcPr>
          <w:p>
            <w:pPr>
              <w:ind w:left="100"/>
              <w:spacing w:after="0"/>
              <w:rPr>
                <w:sz w:val="20"/>
                <w:szCs w:val="20"/>
                <w:color w:val="auto"/>
              </w:rPr>
            </w:pPr>
            <w:r>
              <w:rPr>
                <w:rFonts w:ascii="Arial" w:cs="Arial" w:eastAsia="Arial" w:hAnsi="Arial"/>
                <w:sz w:val="18"/>
                <w:szCs w:val="18"/>
                <w:b w:val="1"/>
                <w:bCs w:val="1"/>
                <w:color w:val="auto"/>
                <w:w w:val="95"/>
              </w:rPr>
              <w:t>Total Shares Beneficially Owned</w:t>
            </w:r>
          </w:p>
        </w:tc>
        <w:tc>
          <w:tcPr>
            <w:tcW w:w="2560" w:type="dxa"/>
            <w:vAlign w:val="bottom"/>
            <w:gridSpan w:val="3"/>
          </w:tcPr>
          <w:p>
            <w:pPr>
              <w:ind w:left="440"/>
              <w:spacing w:after="0"/>
              <w:rPr>
                <w:sz w:val="20"/>
                <w:szCs w:val="20"/>
                <w:color w:val="auto"/>
              </w:rPr>
            </w:pPr>
            <w:r>
              <w:rPr>
                <w:rFonts w:ascii="Arial" w:cs="Arial" w:eastAsia="Arial" w:hAnsi="Arial"/>
                <w:sz w:val="18"/>
                <w:szCs w:val="18"/>
                <w:b w:val="1"/>
                <w:bCs w:val="1"/>
                <w:color w:val="auto"/>
              </w:rPr>
              <w:t>Class A Voting Shares</w:t>
            </w:r>
          </w:p>
        </w:tc>
      </w:tr>
      <w:tr>
        <w:trPr>
          <w:trHeight w:val="234"/>
        </w:trPr>
        <w:tc>
          <w:tcPr>
            <w:tcW w:w="5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Beneficially Owned</w:t>
            </w:r>
          </w:p>
        </w:tc>
      </w:tr>
      <w:tr>
        <w:trPr>
          <w:trHeight w:val="27"/>
        </w:trPr>
        <w:tc>
          <w:tcPr>
            <w:tcW w:w="5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color w:val="auto"/>
              </w:rPr>
              <w:t>Shares</w:t>
            </w: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60" w:type="dxa"/>
            <w:vAlign w:val="bottom"/>
            <w:gridSpan w:val="2"/>
          </w:tcPr>
          <w:p>
            <w:pPr>
              <w:ind w:left="440"/>
              <w:spacing w:after="0"/>
              <w:rPr>
                <w:sz w:val="20"/>
                <w:szCs w:val="20"/>
                <w:color w:val="auto"/>
              </w:rPr>
            </w:pPr>
            <w:r>
              <w:rPr>
                <w:rFonts w:ascii="Arial" w:cs="Arial" w:eastAsia="Arial" w:hAnsi="Arial"/>
                <w:sz w:val="18"/>
                <w:szCs w:val="18"/>
                <w:color w:val="auto"/>
              </w:rPr>
              <w:t>Shares</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324"/>
        </w:trPr>
        <w:tc>
          <w:tcPr>
            <w:tcW w:w="5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owning more than 5%</w:t>
            </w:r>
          </w:p>
        </w:tc>
        <w:tc>
          <w:tcPr>
            <w:tcW w:w="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53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Entities affiliated with Catterton Partners </w:t>
            </w:r>
            <w:r>
              <w:rPr>
                <w:rFonts w:ascii="Arial" w:cs="Arial" w:eastAsia="Arial" w:hAnsi="Arial"/>
                <w:sz w:val="25"/>
                <w:szCs w:val="25"/>
                <w:color w:val="auto"/>
                <w:vertAlign w:val="superscript"/>
              </w:rPr>
              <w:t>(1)</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8,356,136</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8,356,136</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29.73%</w:t>
            </w:r>
          </w:p>
        </w:tc>
      </w:tr>
      <w:tr>
        <w:trPr>
          <w:trHeight w:val="270"/>
        </w:trPr>
        <w:tc>
          <w:tcPr>
            <w:tcW w:w="53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Argentia Private Investments Inc. </w:t>
            </w:r>
            <w:r>
              <w:rPr>
                <w:rFonts w:ascii="Arial" w:cs="Arial" w:eastAsia="Arial" w:hAnsi="Arial"/>
                <w:sz w:val="25"/>
                <w:szCs w:val="25"/>
                <w:color w:val="auto"/>
                <w:vertAlign w:val="superscript"/>
              </w:rPr>
              <w:t>(2)</w:t>
            </w:r>
          </w:p>
        </w:tc>
        <w:tc>
          <w:tcPr>
            <w:tcW w:w="2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8,264,310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6,742,212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r>
      <w:tr>
        <w:trPr>
          <w:trHeight w:val="324"/>
        </w:trPr>
        <w:tc>
          <w:tcPr>
            <w:tcW w:w="5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53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Kevin Reddy </w:t>
            </w:r>
            <w:r>
              <w:rPr>
                <w:rFonts w:ascii="Arial" w:cs="Arial" w:eastAsia="Arial" w:hAnsi="Arial"/>
                <w:sz w:val="25"/>
                <w:szCs w:val="25"/>
                <w:color w:val="auto"/>
                <w:vertAlign w:val="superscript"/>
              </w:rPr>
              <w:t>(3)</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936,615</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936,615</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0"/>
        </w:trPr>
        <w:tc>
          <w:tcPr>
            <w:tcW w:w="53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Keith Kinsey </w:t>
            </w:r>
            <w:r>
              <w:rPr>
                <w:rFonts w:ascii="Arial" w:cs="Arial" w:eastAsia="Arial" w:hAnsi="Arial"/>
                <w:sz w:val="25"/>
                <w:szCs w:val="25"/>
                <w:color w:val="auto"/>
                <w:vertAlign w:val="superscript"/>
              </w:rPr>
              <w:t>(4)</w:t>
            </w:r>
          </w:p>
        </w:tc>
        <w:tc>
          <w:tcPr>
            <w:tcW w:w="2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702,911</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702,911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70"/>
        </w:trPr>
        <w:tc>
          <w:tcPr>
            <w:tcW w:w="53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Dave Boennighausen </w:t>
            </w:r>
            <w:r>
              <w:rPr>
                <w:rFonts w:ascii="Arial" w:cs="Arial" w:eastAsia="Arial" w:hAnsi="Arial"/>
                <w:sz w:val="25"/>
                <w:szCs w:val="25"/>
                <w:color w:val="auto"/>
                <w:vertAlign w:val="superscript"/>
              </w:rPr>
              <w:t>(5)</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97,336</w:t>
            </w:r>
          </w:p>
        </w:tc>
        <w:tc>
          <w:tcPr>
            <w:tcW w:w="12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97,336</w:t>
            </w:r>
          </w:p>
        </w:tc>
        <w:tc>
          <w:tcPr>
            <w:tcW w:w="10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3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Dan Fogarty </w:t>
            </w:r>
            <w:r>
              <w:rPr>
                <w:rFonts w:ascii="Arial" w:cs="Arial" w:eastAsia="Arial" w:hAnsi="Arial"/>
                <w:sz w:val="25"/>
                <w:szCs w:val="25"/>
                <w:color w:val="auto"/>
                <w:vertAlign w:val="superscript"/>
              </w:rPr>
              <w:t>(6)</w:t>
            </w:r>
          </w:p>
        </w:tc>
        <w:tc>
          <w:tcPr>
            <w:tcW w:w="2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138,624</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138,624</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3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Phil Petrilli </w:t>
            </w:r>
            <w:r>
              <w:rPr>
                <w:rFonts w:ascii="Arial" w:cs="Arial" w:eastAsia="Arial" w:hAnsi="Arial"/>
                <w:sz w:val="25"/>
                <w:szCs w:val="25"/>
                <w:color w:val="auto"/>
                <w:vertAlign w:val="superscript"/>
              </w:rPr>
              <w:t>(7)</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95,320</w:t>
            </w:r>
          </w:p>
        </w:tc>
        <w:tc>
          <w:tcPr>
            <w:tcW w:w="12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95,320</w:t>
            </w:r>
          </w:p>
        </w:tc>
        <w:tc>
          <w:tcPr>
            <w:tcW w:w="10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3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Paul Strasen </w:t>
            </w:r>
            <w:r>
              <w:rPr>
                <w:rFonts w:ascii="Arial" w:cs="Arial" w:eastAsia="Arial" w:hAnsi="Arial"/>
                <w:sz w:val="25"/>
                <w:szCs w:val="25"/>
                <w:color w:val="auto"/>
                <w:vertAlign w:val="superscript"/>
              </w:rPr>
              <w:t>(8)</w:t>
            </w:r>
          </w:p>
        </w:tc>
        <w:tc>
          <w:tcPr>
            <w:tcW w:w="2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152,078</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152,078</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3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Kathy Lockhart </w:t>
            </w:r>
            <w:r>
              <w:rPr>
                <w:rFonts w:ascii="Arial" w:cs="Arial" w:eastAsia="Arial" w:hAnsi="Arial"/>
                <w:sz w:val="25"/>
                <w:szCs w:val="25"/>
                <w:color w:val="auto"/>
                <w:vertAlign w:val="superscript"/>
              </w:rPr>
              <w:t>(9)</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36,782</w:t>
            </w:r>
          </w:p>
        </w:tc>
        <w:tc>
          <w:tcPr>
            <w:tcW w:w="120" w:type="dxa"/>
            <w:vAlign w:val="bottom"/>
          </w:tcPr>
          <w:p>
            <w:pPr>
              <w:spacing w:after="0"/>
              <w:rPr>
                <w:sz w:val="23"/>
                <w:szCs w:val="23"/>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36,782</w:t>
            </w:r>
          </w:p>
        </w:tc>
        <w:tc>
          <w:tcPr>
            <w:tcW w:w="100" w:type="dxa"/>
            <w:vAlign w:val="bottom"/>
          </w:tcPr>
          <w:p>
            <w:pPr>
              <w:spacing w:after="0"/>
              <w:rPr>
                <w:sz w:val="23"/>
                <w:szCs w:val="23"/>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3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Scott A. Dahnke </w:t>
            </w:r>
            <w:r>
              <w:rPr>
                <w:rFonts w:ascii="Arial" w:cs="Arial" w:eastAsia="Arial" w:hAnsi="Arial"/>
                <w:sz w:val="25"/>
                <w:szCs w:val="25"/>
                <w:color w:val="auto"/>
                <w:vertAlign w:val="superscript"/>
              </w:rPr>
              <w:t>(1)</w:t>
            </w:r>
          </w:p>
        </w:tc>
        <w:tc>
          <w:tcPr>
            <w:tcW w:w="2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8,356,136</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8,356,136</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r>
      <w:tr>
        <w:trPr>
          <w:trHeight w:val="243"/>
        </w:trPr>
        <w:tc>
          <w:tcPr>
            <w:tcW w:w="5320" w:type="dxa"/>
            <w:vAlign w:val="bottom"/>
          </w:tcPr>
          <w:p>
            <w:pPr>
              <w:ind w:left="160"/>
              <w:spacing w:after="0"/>
              <w:rPr>
                <w:sz w:val="20"/>
                <w:szCs w:val="20"/>
                <w:color w:val="auto"/>
              </w:rPr>
            </w:pPr>
            <w:r>
              <w:rPr>
                <w:rFonts w:ascii="Arial" w:cs="Arial" w:eastAsia="Arial" w:hAnsi="Arial"/>
                <w:sz w:val="18"/>
                <w:szCs w:val="18"/>
                <w:color w:val="auto"/>
              </w:rPr>
              <w:t>Stuart Frenkiel</w:t>
            </w:r>
          </w:p>
        </w:tc>
        <w:tc>
          <w:tcPr>
            <w:tcW w:w="7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Jeff Jones</w:t>
            </w:r>
          </w:p>
        </w:tc>
        <w:tc>
          <w:tcPr>
            <w:tcW w:w="7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160"/>
              <w:spacing w:after="0"/>
              <w:rPr>
                <w:sz w:val="20"/>
                <w:szCs w:val="20"/>
                <w:color w:val="auto"/>
              </w:rPr>
            </w:pPr>
            <w:r>
              <w:rPr>
                <w:rFonts w:ascii="Arial" w:cs="Arial" w:eastAsia="Arial" w:hAnsi="Arial"/>
                <w:sz w:val="18"/>
                <w:szCs w:val="18"/>
                <w:color w:val="auto"/>
              </w:rPr>
              <w:t>James Pittman</w:t>
            </w:r>
          </w:p>
        </w:tc>
        <w:tc>
          <w:tcPr>
            <w:tcW w:w="7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3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James Rand </w:t>
            </w:r>
            <w:r>
              <w:rPr>
                <w:rFonts w:ascii="Arial" w:cs="Arial" w:eastAsia="Arial" w:hAnsi="Arial"/>
                <w:sz w:val="25"/>
                <w:szCs w:val="25"/>
                <w:color w:val="auto"/>
                <w:vertAlign w:val="superscript"/>
              </w:rPr>
              <w:t>(10)</w:t>
            </w:r>
          </w:p>
        </w:tc>
        <w:tc>
          <w:tcPr>
            <w:tcW w:w="2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42,470</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42,470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160"/>
              <w:spacing w:after="0"/>
              <w:rPr>
                <w:sz w:val="20"/>
                <w:szCs w:val="20"/>
                <w:color w:val="auto"/>
              </w:rPr>
            </w:pPr>
            <w:r>
              <w:rPr>
                <w:rFonts w:ascii="Arial" w:cs="Arial" w:eastAsia="Arial" w:hAnsi="Arial"/>
                <w:sz w:val="18"/>
                <w:szCs w:val="18"/>
                <w:color w:val="auto"/>
              </w:rPr>
              <w:t>Andrew Taub</w:t>
            </w:r>
          </w:p>
        </w:tc>
        <w:tc>
          <w:tcPr>
            <w:tcW w:w="7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5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3"/>
        </w:trPr>
        <w:tc>
          <w:tcPr>
            <w:tcW w:w="5320" w:type="dxa"/>
            <w:vAlign w:val="bottom"/>
          </w:tcPr>
          <w:p>
            <w:pPr>
              <w:ind w:left="160"/>
              <w:spacing w:after="0"/>
              <w:rPr>
                <w:sz w:val="20"/>
                <w:szCs w:val="20"/>
                <w:color w:val="auto"/>
              </w:rPr>
            </w:pPr>
            <w:r>
              <w:rPr>
                <w:rFonts w:ascii="Arial" w:cs="Arial" w:eastAsia="Arial" w:hAnsi="Arial"/>
                <w:sz w:val="18"/>
                <w:szCs w:val="18"/>
                <w:b w:val="1"/>
                <w:bCs w:val="1"/>
                <w:color w:val="auto"/>
                <w:w w:val="96"/>
              </w:rPr>
              <w:t>All Executive Officers and Director as a Group (13 individuals)</w:t>
            </w:r>
          </w:p>
        </w:tc>
        <w:tc>
          <w:tcPr>
            <w:tcW w:w="2000" w:type="dxa"/>
            <w:vAlign w:val="bottom"/>
            <w:gridSpan w:val="2"/>
          </w:tcPr>
          <w:p>
            <w:pPr>
              <w:jc w:val="right"/>
              <w:ind w:right="10"/>
              <w:spacing w:after="0"/>
              <w:rPr>
                <w:sz w:val="20"/>
                <w:szCs w:val="20"/>
                <w:color w:val="auto"/>
              </w:rPr>
            </w:pPr>
            <w:r>
              <w:rPr>
                <w:rFonts w:ascii="Arial" w:cs="Arial" w:eastAsia="Arial" w:hAnsi="Arial"/>
                <w:sz w:val="18"/>
                <w:szCs w:val="18"/>
                <w:color w:val="auto"/>
              </w:rPr>
              <w:t>2,202,136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2,202,136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486"/>
        </w:trPr>
        <w:tc>
          <w:tcPr>
            <w:tcW w:w="532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w:t>
      </w:r>
    </w:p>
    <w:p>
      <w:pPr>
        <w:spacing w:after="0" w:line="118"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Indicates ownership of less than one percent.</w:t>
      </w:r>
    </w:p>
    <w:p>
      <w:pPr>
        <w:spacing w:after="0" w:line="113" w:lineRule="exact"/>
        <w:rPr>
          <w:rFonts w:ascii="Arial" w:cs="Arial" w:eastAsia="Arial" w:hAnsi="Arial"/>
          <w:sz w:val="16"/>
          <w:szCs w:val="16"/>
          <w:i w:val="1"/>
          <w:iCs w:val="1"/>
          <w:color w:val="auto"/>
        </w:rPr>
      </w:pPr>
    </w:p>
    <w:p>
      <w:pPr>
        <w:ind w:left="660" w:right="20" w:hanging="490"/>
        <w:spacing w:after="0" w:line="278" w:lineRule="auto"/>
        <w:tabs>
          <w:tab w:leader="none" w:pos="660" w:val="left"/>
        </w:tabs>
        <w:numPr>
          <w:ilvl w:val="1"/>
          <w:numId w:val="18"/>
        </w:numPr>
        <w:rPr>
          <w:rFonts w:ascii="Arial" w:cs="Arial" w:eastAsia="Arial" w:hAnsi="Arial"/>
          <w:sz w:val="15"/>
          <w:szCs w:val="15"/>
          <w:color w:val="auto"/>
        </w:rPr>
      </w:pPr>
      <w:r>
        <w:rPr>
          <w:rFonts w:ascii="Arial" w:cs="Arial" w:eastAsia="Arial" w:hAnsi="Arial"/>
          <w:sz w:val="15"/>
          <w:szCs w:val="15"/>
          <w:color w:val="auto"/>
        </w:rPr>
        <w:t>Based on a Schedule 13G filed on February 14, 2014 by CP6 Management reporting beneficial ownership as of December 31, 2013. All of the shares of common stock are held by Catterton-Noodles, LLC, an entity affiliated with Catterton. Catterton has shared voting and investment power with respect to these shares. Scott Dahnke is a Managing Partner of Catterton, and in such capacity has voting and investment control over the securities. Mr. Dahnke disclaims beneficial ownership of such securities. The principal business address of Catterton is 599 West Putnam Avenue, Greenwich, CT 06830.</w:t>
      </w:r>
    </w:p>
    <w:p>
      <w:pPr>
        <w:spacing w:after="0" w:line="65" w:lineRule="exact"/>
        <w:rPr>
          <w:rFonts w:ascii="Arial" w:cs="Arial" w:eastAsia="Arial" w:hAnsi="Arial"/>
          <w:sz w:val="15"/>
          <w:szCs w:val="15"/>
          <w:color w:val="auto"/>
        </w:rPr>
      </w:pPr>
    </w:p>
    <w:p>
      <w:pPr>
        <w:ind w:left="660" w:hanging="490"/>
        <w:spacing w:after="0" w:line="286" w:lineRule="auto"/>
        <w:tabs>
          <w:tab w:leader="none" w:pos="660" w:val="left"/>
        </w:tabs>
        <w:numPr>
          <w:ilvl w:val="1"/>
          <w:numId w:val="18"/>
        </w:numPr>
        <w:rPr>
          <w:rFonts w:ascii="Arial" w:cs="Arial" w:eastAsia="Arial" w:hAnsi="Arial"/>
          <w:sz w:val="14"/>
          <w:szCs w:val="14"/>
          <w:color w:val="auto"/>
        </w:rPr>
      </w:pPr>
      <w:r>
        <w:rPr>
          <w:rFonts w:ascii="Arial" w:cs="Arial" w:eastAsia="Arial" w:hAnsi="Arial"/>
          <w:sz w:val="14"/>
          <w:szCs w:val="14"/>
          <w:color w:val="auto"/>
        </w:rPr>
        <w:t>Based on a Schedule 13G filed on February 13, 2014 by PSPIB reporting beneficial ownership as of December 31, 2013, as updated by a Form 4 filed on March 5, 2014 reporting beneficial ownership as of March 3, 2014. Consists of 6,742,212 shares of Class A common stock and 1,522,098 shares of Class B common stock held by Argentia, which is affiliated with PSPIB. Gordon J. Fyfe is President of Argentia, Derek Murphy is a director and Vice President of Argentia and John Valentini is director and Vice President of Argentia, and in such capacities they have investment control over such securities. Derek Murphy and Stephanie Lachance, Vice President, Responsible Investment and Corporate Secretary of PSP Investments, have voting control over such securities on behalf of Argentia. Mr. Fyfe,</w:t>
      </w:r>
    </w:p>
    <w:p>
      <w:pPr>
        <w:ind w:left="660" w:right="260"/>
        <w:spacing w:after="0" w:line="257" w:lineRule="auto"/>
        <w:rPr>
          <w:rFonts w:ascii="Arial" w:cs="Arial" w:eastAsia="Arial" w:hAnsi="Arial"/>
          <w:sz w:val="14"/>
          <w:szCs w:val="14"/>
          <w:color w:val="auto"/>
        </w:rPr>
      </w:pPr>
      <w:r>
        <w:rPr>
          <w:rFonts w:ascii="Arial" w:cs="Arial" w:eastAsia="Arial" w:hAnsi="Arial"/>
          <w:sz w:val="16"/>
          <w:szCs w:val="16"/>
          <w:color w:val="auto"/>
        </w:rPr>
        <w:t>Mr. Murphy, Mr. Valentini and Ms. Lachance disclaim beneficial ownership of such securities. The principal business address of Argentia is 1250 Réne Lévesque Boulevard West, Suite 900, Montreal, Quebec, Canada H3B 4W8.</w:t>
      </w:r>
    </w:p>
    <w:p>
      <w:pPr>
        <w:spacing w:after="0" w:line="78" w:lineRule="exact"/>
        <w:rPr>
          <w:rFonts w:ascii="Arial" w:cs="Arial" w:eastAsia="Arial" w:hAnsi="Arial"/>
          <w:sz w:val="14"/>
          <w:szCs w:val="14"/>
          <w:color w:val="auto"/>
        </w:rPr>
      </w:pPr>
    </w:p>
    <w:p>
      <w:pPr>
        <w:ind w:left="660" w:hanging="490"/>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Includes options to purchase 936,615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Includes options to purchase 677,975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Includes options to purchase 95,836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Includes options to purchase 138,624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Includes options to purchase 90,320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Includes options to purchase 147,135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Includes options to purchase 35,312 shares of our Class A common stock exercisable within 60 days.</w:t>
      </w:r>
    </w:p>
    <w:p>
      <w:pPr>
        <w:spacing w:after="0" w:line="113" w:lineRule="exact"/>
        <w:rPr>
          <w:rFonts w:ascii="Arial" w:cs="Arial" w:eastAsia="Arial" w:hAnsi="Arial"/>
          <w:sz w:val="16"/>
          <w:szCs w:val="16"/>
          <w:color w:val="auto"/>
        </w:rPr>
      </w:pPr>
    </w:p>
    <w:p>
      <w:pPr>
        <w:ind w:left="660" w:hanging="490"/>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Includes options to purchase 25,965 shares of our Class A common stock exercisable within 60 days.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Our named executive officers, or NEOs, for 2013, which consist of our principal executive officer and the next two most highly-compensated executives,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211" w:lineRule="exact"/>
        <w:rPr>
          <w:sz w:val="20"/>
          <w:szCs w:val="20"/>
          <w:color w:val="auto"/>
        </w:rPr>
      </w:pPr>
    </w:p>
    <w:p>
      <w:pPr>
        <w:ind w:left="740" w:hanging="165"/>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Kevin Reddy, our Chairman and Chief Executive Officer;</w:t>
      </w:r>
    </w:p>
    <w:p>
      <w:pPr>
        <w:spacing w:after="0" w:line="225" w:lineRule="exact"/>
        <w:rPr>
          <w:rFonts w:ascii="Arial" w:cs="Arial" w:eastAsia="Arial" w:hAnsi="Arial"/>
          <w:sz w:val="18"/>
          <w:szCs w:val="18"/>
          <w:color w:val="auto"/>
        </w:rPr>
      </w:pPr>
    </w:p>
    <w:p>
      <w:pPr>
        <w:ind w:left="740" w:hanging="165"/>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Keith Kinsey, our President and Chief Operating Officer; and</w:t>
      </w:r>
    </w:p>
    <w:p>
      <w:pPr>
        <w:spacing w:after="0" w:line="225" w:lineRule="exact"/>
        <w:rPr>
          <w:rFonts w:ascii="Arial" w:cs="Arial" w:eastAsia="Arial" w:hAnsi="Arial"/>
          <w:sz w:val="18"/>
          <w:szCs w:val="18"/>
          <w:color w:val="auto"/>
        </w:rPr>
      </w:pPr>
    </w:p>
    <w:p>
      <w:pPr>
        <w:ind w:left="740" w:hanging="165"/>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Dave Boennighausen, our 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Summary Compensation Table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compensation awarded to, earned by or paid to our NEOs for 2013 and 2012:</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4"/>
                <w:szCs w:val="14"/>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Year</w:t>
            </w:r>
          </w:p>
        </w:tc>
        <w:tc>
          <w:tcPr>
            <w:tcW w:w="220" w:type="dxa"/>
            <w:vAlign w:val="bottom"/>
            <w:vMerge w:val="restart"/>
          </w:tcPr>
          <w:p>
            <w:pPr>
              <w:spacing w:after="0"/>
              <w:rPr>
                <w:sz w:val="14"/>
                <w:szCs w:val="14"/>
                <w:color w:val="auto"/>
              </w:rPr>
            </w:pPr>
          </w:p>
        </w:tc>
        <w:tc>
          <w:tcPr>
            <w:tcW w:w="10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Salary</w:t>
            </w:r>
          </w:p>
        </w:tc>
        <w:tc>
          <w:tcPr>
            <w:tcW w:w="100" w:type="dxa"/>
            <w:vAlign w:val="bottom"/>
            <w:vMerge w:val="restart"/>
          </w:tcPr>
          <w:p>
            <w:pPr>
              <w:spacing w:after="0"/>
              <w:rPr>
                <w:sz w:val="14"/>
                <w:szCs w:val="14"/>
                <w:color w:val="auto"/>
              </w:rPr>
            </w:pPr>
          </w:p>
        </w:tc>
        <w:tc>
          <w:tcPr>
            <w:tcW w:w="11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8"/>
                <w:szCs w:val="8"/>
                <w:b w:val="1"/>
                <w:bCs w:val="1"/>
                <w:color w:val="auto"/>
              </w:rPr>
              <w:t>(1)</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8"/>
                <w:szCs w:val="8"/>
                <w:b w:val="1"/>
                <w:bCs w:val="1"/>
                <w:color w:val="auto"/>
              </w:rPr>
              <w:t>(2)</w:t>
            </w:r>
          </w:p>
        </w:tc>
        <w:tc>
          <w:tcPr>
            <w:tcW w:w="100" w:type="dxa"/>
            <w:vAlign w:val="bottom"/>
            <w:vMerge w:val="restart"/>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Non-equity incentive</w:t>
            </w:r>
          </w:p>
        </w:tc>
        <w:tc>
          <w:tcPr>
            <w:tcW w:w="200" w:type="dxa"/>
            <w:vAlign w:val="bottom"/>
          </w:tcPr>
          <w:p>
            <w:pPr>
              <w:spacing w:after="0"/>
              <w:rPr>
                <w:sz w:val="14"/>
                <w:szCs w:val="14"/>
                <w:color w:val="auto"/>
              </w:rPr>
            </w:pPr>
          </w:p>
        </w:tc>
        <w:tc>
          <w:tcPr>
            <w:tcW w:w="1060" w:type="dxa"/>
            <w:vAlign w:val="bottom"/>
          </w:tcPr>
          <w:p>
            <w:pPr>
              <w:jc w:val="right"/>
              <w:ind w:right="234"/>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 xml:space="preserve">plan compensation </w:t>
            </w:r>
            <w:r>
              <w:rPr>
                <w:rFonts w:ascii="Arial" w:cs="Arial" w:eastAsia="Arial" w:hAnsi="Arial"/>
                <w:sz w:val="8"/>
                <w:szCs w:val="8"/>
                <w:b w:val="1"/>
                <w:bCs w:val="1"/>
                <w:color w:val="auto"/>
                <w:w w:val="97"/>
              </w:rPr>
              <w:t>(3)</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Compensation</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Kevin Reddy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   655,769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1,000,000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1,508,748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3,724,699</w:t>
            </w:r>
          </w:p>
        </w:tc>
        <w:tc>
          <w:tcPr>
            <w:tcW w:w="0" w:type="dxa"/>
            <w:vAlign w:val="bottom"/>
          </w:tcPr>
          <w:p>
            <w:pPr>
              <w:spacing w:after="0"/>
              <w:rPr>
                <w:sz w:val="1"/>
                <w:szCs w:val="1"/>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Chairman and Chief</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____</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____</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13,905</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Executive Officer</w:t>
            </w:r>
          </w:p>
        </w:tc>
        <w:tc>
          <w:tcPr>
            <w:tcW w:w="700" w:type="dxa"/>
            <w:vAlign w:val="bottom"/>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546,154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550,000</w:t>
            </w:r>
          </w:p>
        </w:tc>
        <w:tc>
          <w:tcPr>
            <w:tcW w:w="2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1,110,059</w:t>
            </w:r>
          </w:p>
        </w:tc>
        <w:tc>
          <w:tcPr>
            <w:tcW w:w="0" w:type="dxa"/>
            <w:vAlign w:val="bottom"/>
          </w:tcPr>
          <w:p>
            <w:pPr>
              <w:spacing w:after="0"/>
              <w:rPr>
                <w:sz w:val="1"/>
                <w:szCs w:val="1"/>
                <w:color w:val="auto"/>
              </w:rPr>
            </w:pPr>
          </w:p>
        </w:tc>
      </w:tr>
      <w:tr>
        <w:trPr>
          <w:trHeight w:val="277"/>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Keith Kinsey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472,308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838,193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308,582</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2,128,337</w:t>
            </w:r>
          </w:p>
        </w:tc>
        <w:tc>
          <w:tcPr>
            <w:tcW w:w="0" w:type="dxa"/>
            <w:vAlign w:val="bottom"/>
          </w:tcPr>
          <w:p>
            <w:pPr>
              <w:spacing w:after="0"/>
              <w:rPr>
                <w:sz w:val="1"/>
                <w:szCs w:val="1"/>
                <w:color w:val="auto"/>
              </w:rPr>
            </w:pPr>
          </w:p>
        </w:tc>
      </w:tr>
      <w:tr>
        <w:trPr>
          <w:trHeight w:val="229"/>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President and Chief</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right"/>
              <w:ind w:right="13"/>
              <w:spacing w:after="0"/>
              <w:rPr>
                <w:sz w:val="20"/>
                <w:szCs w:val="20"/>
                <w:color w:val="auto"/>
              </w:rPr>
            </w:pPr>
            <w:r>
              <w:rPr>
                <w:rFonts w:ascii="Arial" w:cs="Arial" w:eastAsia="Arial" w:hAnsi="Arial"/>
                <w:sz w:val="18"/>
                <w:szCs w:val="18"/>
                <w:color w:val="auto"/>
              </w:rPr>
              <w:t>____</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7,439</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30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Operating Officer</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9"/>
                <w:szCs w:val="9"/>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color w:val="auto"/>
              </w:rPr>
              <w:t>422,308</w:t>
            </w: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vMerge w:val="restart"/>
          </w:tcPr>
          <w:p>
            <w:pPr>
              <w:jc w:val="right"/>
              <w:ind w:right="13"/>
              <w:spacing w:after="0"/>
              <w:rPr>
                <w:sz w:val="20"/>
                <w:szCs w:val="20"/>
                <w:color w:val="auto"/>
              </w:rPr>
            </w:pPr>
            <w:r>
              <w:rPr>
                <w:rFonts w:ascii="Arial" w:cs="Arial" w:eastAsia="Arial" w:hAnsi="Arial"/>
                <w:sz w:val="18"/>
                <w:szCs w:val="18"/>
                <w:color w:val="auto"/>
              </w:rPr>
              <w:t>20,898</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322,500</w:t>
            </w:r>
          </w:p>
        </w:tc>
        <w:tc>
          <w:tcPr>
            <w:tcW w:w="2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8"/>
                <w:szCs w:val="18"/>
                <w:color w:val="auto"/>
              </w:rPr>
              <w:t>773,145</w:t>
            </w:r>
          </w:p>
        </w:tc>
        <w:tc>
          <w:tcPr>
            <w:tcW w:w="0" w:type="dxa"/>
            <w:vAlign w:val="bottom"/>
          </w:tcPr>
          <w:p>
            <w:pPr>
              <w:spacing w:after="0"/>
              <w:rPr>
                <w:sz w:val="1"/>
                <w:szCs w:val="1"/>
                <w:color w:val="auto"/>
              </w:rPr>
            </w:pPr>
          </w:p>
        </w:tc>
      </w:tr>
      <w:tr>
        <w:trPr>
          <w:trHeight w:val="128"/>
        </w:trPr>
        <w:tc>
          <w:tcPr>
            <w:tcW w:w="23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Dave Boennighausen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239,808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____</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104,468</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403,780</w:t>
            </w:r>
          </w:p>
        </w:tc>
        <w:tc>
          <w:tcPr>
            <w:tcW w:w="0" w:type="dxa"/>
            <w:vAlign w:val="bottom"/>
          </w:tcPr>
          <w:p>
            <w:pPr>
              <w:spacing w:after="0"/>
              <w:rPr>
                <w:sz w:val="1"/>
                <w:szCs w:val="1"/>
                <w:color w:val="auto"/>
              </w:rPr>
            </w:pPr>
          </w:p>
        </w:tc>
      </w:tr>
      <w:tr>
        <w:trPr>
          <w:trHeight w:val="365"/>
        </w:trPr>
        <w:tc>
          <w:tcPr>
            <w:tcW w:w="230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Chief Financial Officer</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4"/>
                <w:szCs w:val="24"/>
                <w:color w:val="auto"/>
              </w:rPr>
            </w:pPr>
          </w:p>
        </w:tc>
        <w:tc>
          <w:tcPr>
            <w:tcW w:w="1060" w:type="dxa"/>
            <w:vAlign w:val="bottom"/>
            <w:vMerge w:val="restart"/>
          </w:tcPr>
          <w:p>
            <w:pPr>
              <w:jc w:val="right"/>
              <w:ind w:right="33"/>
              <w:spacing w:after="0"/>
              <w:rPr>
                <w:sz w:val="20"/>
                <w:szCs w:val="20"/>
                <w:color w:val="auto"/>
              </w:rPr>
            </w:pPr>
            <w:r>
              <w:rPr>
                <w:rFonts w:ascii="Arial" w:cs="Arial" w:eastAsia="Arial" w:hAnsi="Arial"/>
                <w:sz w:val="18"/>
                <w:szCs w:val="18"/>
                <w:color w:val="auto"/>
              </w:rPr>
              <w:t>210,192</w:t>
            </w:r>
          </w:p>
        </w:tc>
        <w:tc>
          <w:tcPr>
            <w:tcW w:w="10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____</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vMerge w:val="restart"/>
          </w:tcPr>
          <w:p>
            <w:pPr>
              <w:jc w:val="right"/>
              <w:ind w:right="13"/>
              <w:spacing w:after="0"/>
              <w:rPr>
                <w:sz w:val="20"/>
                <w:szCs w:val="20"/>
                <w:color w:val="auto"/>
              </w:rPr>
            </w:pPr>
            <w:r>
              <w:rPr>
                <w:rFonts w:ascii="Arial" w:cs="Arial" w:eastAsia="Arial" w:hAnsi="Arial"/>
                <w:sz w:val="18"/>
                <w:szCs w:val="18"/>
                <w:color w:val="auto"/>
              </w:rPr>
              <w:t>193,690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107,500</w:t>
            </w:r>
          </w:p>
        </w:tc>
        <w:tc>
          <w:tcPr>
            <w:tcW w:w="20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10,960</w:t>
            </w:r>
          </w:p>
        </w:tc>
        <w:tc>
          <w:tcPr>
            <w:tcW w:w="360" w:type="dxa"/>
            <w:vAlign w:val="bottom"/>
          </w:tcPr>
          <w:p>
            <w:pPr>
              <w:spacing w:after="0"/>
              <w:rPr>
                <w:sz w:val="24"/>
                <w:szCs w:val="24"/>
                <w:color w:val="auto"/>
              </w:rPr>
            </w:pPr>
          </w:p>
        </w:tc>
        <w:tc>
          <w:tcPr>
            <w:tcW w:w="1040" w:type="dxa"/>
            <w:vAlign w:val="bottom"/>
            <w:vMerge w:val="restart"/>
          </w:tcPr>
          <w:p>
            <w:pPr>
              <w:jc w:val="right"/>
              <w:ind w:right="13"/>
              <w:spacing w:after="0"/>
              <w:rPr>
                <w:sz w:val="20"/>
                <w:szCs w:val="20"/>
                <w:color w:val="auto"/>
              </w:rPr>
            </w:pPr>
            <w:r>
              <w:rPr>
                <w:rFonts w:ascii="Arial" w:cs="Arial" w:eastAsia="Arial" w:hAnsi="Arial"/>
                <w:sz w:val="18"/>
                <w:szCs w:val="18"/>
                <w:color w:val="auto"/>
              </w:rPr>
              <w:t>522,342</w:t>
            </w:r>
          </w:p>
        </w:tc>
        <w:tc>
          <w:tcPr>
            <w:tcW w:w="0" w:type="dxa"/>
            <w:vAlign w:val="bottom"/>
          </w:tcPr>
          <w:p>
            <w:pPr>
              <w:spacing w:after="0"/>
              <w:rPr>
                <w:sz w:val="1"/>
                <w:szCs w:val="1"/>
                <w:color w:val="auto"/>
              </w:rPr>
            </w:pPr>
          </w:p>
        </w:tc>
      </w:tr>
      <w:tr>
        <w:trPr>
          <w:trHeight w:val="122"/>
        </w:trPr>
        <w:tc>
          <w:tcPr>
            <w:tcW w:w="23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______________________________</w:t>
      </w:r>
    </w:p>
    <w:p>
      <w:pPr>
        <w:spacing w:after="0" w:line="266" w:lineRule="exact"/>
        <w:rPr>
          <w:sz w:val="20"/>
          <w:szCs w:val="20"/>
          <w:color w:val="auto"/>
        </w:rPr>
      </w:pPr>
    </w:p>
    <w:p>
      <w:pPr>
        <w:ind w:left="820" w:hanging="650"/>
        <w:spacing w:after="0"/>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shown in this column represent bonuses paid in connection with our initial public offering.</w:t>
      </w:r>
    </w:p>
    <w:p>
      <w:pPr>
        <w:spacing w:after="0" w:line="257" w:lineRule="exact"/>
        <w:rPr>
          <w:rFonts w:ascii="Arial" w:cs="Arial" w:eastAsia="Arial" w:hAnsi="Arial"/>
          <w:sz w:val="14"/>
          <w:szCs w:val="14"/>
          <w:color w:val="auto"/>
        </w:rPr>
      </w:pPr>
    </w:p>
    <w:p>
      <w:pPr>
        <w:ind w:left="660" w:right="140" w:hanging="490"/>
        <w:spacing w:after="0" w:line="277" w:lineRule="auto"/>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Amounts represent the aggregate grant date fair value of stock options awarded in 2013 and 2012, calculated in accordance with FASB Accounting Standards Codification Topic 718. A description of the methodologies and assumptions we use to value options awards and the manner in which we recognize the related expense are described in Note 10, Stock-Based Compensation, to our consolidated financial statements, for the year ended December 31, 2013 included in our 2013 10-K. These amounts may not correspond to the actual value eventually realized by each NEO because the value depends on the market value of our common stock at the time the option is exercised.</w:t>
      </w:r>
    </w:p>
    <w:p>
      <w:pPr>
        <w:spacing w:after="0" w:line="174" w:lineRule="exact"/>
        <w:rPr>
          <w:rFonts w:ascii="Arial" w:cs="Arial" w:eastAsia="Arial" w:hAnsi="Arial"/>
          <w:sz w:val="13"/>
          <w:szCs w:val="13"/>
          <w:color w:val="auto"/>
        </w:rPr>
      </w:pPr>
    </w:p>
    <w:p>
      <w:pPr>
        <w:ind w:left="660" w:right="60" w:hanging="490"/>
        <w:spacing w:after="0" w:line="249"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shown in this column represent cash bonus awards granted to our named executive officers for performance during 2013 and 2012. For each year, we maintained bonus plans that provided each NEO with the opportunity to earn a bonus based on achievement of adjusted EBITDA goals for the applicable year. The target bonuses were 100% of base salary for Mr. Reddy, 80% and 75% of base salary for Mr. Kinsey in 2013 and 2012, respectively, and 50% of base salary for Mr. Boennighausen for 2013 and 2012. The Compensation Committee of the Board reserves the right to exercise discretion to increase or decrease such bonuses based on other factors, which can include the executive officers’ individual performance and other bonus compensation, such as that paid in connection with our initial public offering.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2013</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outstanding equity awards at the end of 2013 for each of the named executive officers.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securities</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Option exercise</w:t>
            </w:r>
          </w:p>
        </w:tc>
        <w:tc>
          <w:tcPr>
            <w:tcW w:w="1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underlying unexercised</w:t>
            </w: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underlying unexercised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options exercisable</w:t>
            </w:r>
          </w:p>
        </w:tc>
        <w:tc>
          <w:tcPr>
            <w:tcW w:w="12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options unexercisable</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0"/>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Kevin Reddy</w:t>
            </w:r>
          </w:p>
        </w:tc>
        <w:tc>
          <w:tcPr>
            <w:tcW w:w="2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922,046</w:t>
            </w:r>
          </w:p>
        </w:tc>
        <w:tc>
          <w:tcPr>
            <w:tcW w:w="12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12/27/2020</w:t>
            </w: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129,825</w:t>
            </w:r>
          </w:p>
        </w:tc>
        <w:tc>
          <w:tcPr>
            <w:tcW w:w="120" w:type="dxa"/>
            <w:vAlign w:val="bottom"/>
            <w:shd w:val="clear" w:color="auto" w:fill="CCEEFF"/>
          </w:tcPr>
          <w:p>
            <w:pPr>
              <w:spacing w:after="0"/>
              <w:rPr>
                <w:sz w:val="22"/>
                <w:szCs w:val="22"/>
                <w:color w:val="auto"/>
              </w:rPr>
            </w:pPr>
          </w:p>
        </w:tc>
        <w:tc>
          <w:tcPr>
            <w:tcW w:w="2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129,825</w:t>
            </w: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06/27/2023</w:t>
            </w:r>
          </w:p>
        </w:tc>
        <w:tc>
          <w:tcPr>
            <w:tcW w:w="0" w:type="dxa"/>
            <w:vAlign w:val="bottom"/>
          </w:tcPr>
          <w:p>
            <w:pPr>
              <w:spacing w:after="0"/>
              <w:rPr>
                <w:sz w:val="1"/>
                <w:szCs w:val="1"/>
                <w:color w:val="auto"/>
              </w:rPr>
            </w:pPr>
          </w:p>
        </w:tc>
      </w:tr>
      <w:tr>
        <w:trPr>
          <w:trHeight w:val="122"/>
        </w:trPr>
        <w:tc>
          <w:tcPr>
            <w:tcW w:w="2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color w:val="auto"/>
              </w:rPr>
              <w:t>Keith Kinsey</w:t>
            </w:r>
          </w:p>
        </w:tc>
        <w:tc>
          <w:tcPr>
            <w:tcW w:w="2080" w:type="dxa"/>
            <w:vAlign w:val="bottom"/>
            <w:gridSpan w:val="2"/>
          </w:tcPr>
          <w:p>
            <w:pPr>
              <w:jc w:val="right"/>
              <w:ind w:right="41"/>
              <w:spacing w:after="0"/>
              <w:rPr>
                <w:sz w:val="20"/>
                <w:szCs w:val="20"/>
                <w:color w:val="auto"/>
              </w:rPr>
            </w:pPr>
            <w:r>
              <w:rPr>
                <w:rFonts w:ascii="Arial" w:cs="Arial" w:eastAsia="Arial" w:hAnsi="Arial"/>
                <w:sz w:val="18"/>
                <w:szCs w:val="18"/>
                <w:color w:val="auto"/>
              </w:rPr>
              <w:t>588,540</w:t>
            </w:r>
          </w:p>
        </w:tc>
        <w:tc>
          <w:tcPr>
            <w:tcW w:w="120" w:type="dxa"/>
            <w:vAlign w:val="bottom"/>
          </w:tcPr>
          <w:p>
            <w:pPr>
              <w:spacing w:after="0"/>
              <w:rPr>
                <w:sz w:val="22"/>
                <w:szCs w:val="22"/>
                <w:color w:val="auto"/>
              </w:rPr>
            </w:pPr>
          </w:p>
        </w:tc>
        <w:tc>
          <w:tcPr>
            <w:tcW w:w="21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12/27/2020</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2080" w:type="dxa"/>
            <w:vAlign w:val="bottom"/>
            <w:gridSpan w:val="2"/>
          </w:tcPr>
          <w:p>
            <w:pPr>
              <w:jc w:val="right"/>
              <w:ind w:right="41"/>
              <w:spacing w:after="0"/>
              <w:rPr>
                <w:sz w:val="20"/>
                <w:szCs w:val="20"/>
                <w:color w:val="auto"/>
              </w:rPr>
            </w:pPr>
            <w:r>
              <w:rPr>
                <w:rFonts w:ascii="Arial" w:cs="Arial" w:eastAsia="Arial" w:hAnsi="Arial"/>
                <w:sz w:val="18"/>
                <w:szCs w:val="18"/>
                <w:color w:val="auto"/>
              </w:rPr>
              <w:t>17,310</w:t>
            </w:r>
          </w:p>
        </w:tc>
        <w:tc>
          <w:tcPr>
            <w:tcW w:w="120" w:type="dxa"/>
            <w:vAlign w:val="bottom"/>
          </w:tcPr>
          <w:p>
            <w:pPr>
              <w:spacing w:after="0"/>
              <w:rPr>
                <w:sz w:val="23"/>
                <w:szCs w:val="23"/>
                <w:color w:val="auto"/>
              </w:rPr>
            </w:pPr>
          </w:p>
        </w:tc>
        <w:tc>
          <w:tcPr>
            <w:tcW w:w="21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05/14/2022</w:t>
            </w: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2080" w:type="dxa"/>
            <w:vAlign w:val="bottom"/>
            <w:gridSpan w:val="2"/>
          </w:tcPr>
          <w:p>
            <w:pPr>
              <w:jc w:val="right"/>
              <w:ind w:right="41"/>
              <w:spacing w:after="0"/>
              <w:rPr>
                <w:sz w:val="20"/>
                <w:szCs w:val="20"/>
                <w:color w:val="auto"/>
              </w:rPr>
            </w:pPr>
            <w:r>
              <w:rPr>
                <w:rFonts w:ascii="Arial" w:cs="Arial" w:eastAsia="Arial" w:hAnsi="Arial"/>
                <w:sz w:val="18"/>
                <w:szCs w:val="18"/>
                <w:color w:val="auto"/>
              </w:rPr>
              <w:t>72,125</w:t>
            </w:r>
          </w:p>
        </w:tc>
        <w:tc>
          <w:tcPr>
            <w:tcW w:w="120" w:type="dxa"/>
            <w:vAlign w:val="bottom"/>
          </w:tcPr>
          <w:p>
            <w:pPr>
              <w:spacing w:after="0"/>
              <w:rPr>
                <w:sz w:val="22"/>
                <w:szCs w:val="22"/>
                <w:color w:val="auto"/>
              </w:rPr>
            </w:pPr>
          </w:p>
        </w:tc>
        <w:tc>
          <w:tcPr>
            <w:tcW w:w="2180" w:type="dxa"/>
            <w:vAlign w:val="bottom"/>
          </w:tcPr>
          <w:p>
            <w:pPr>
              <w:jc w:val="right"/>
              <w:ind w:right="35"/>
              <w:spacing w:after="0"/>
              <w:rPr>
                <w:sz w:val="20"/>
                <w:szCs w:val="20"/>
                <w:color w:val="auto"/>
              </w:rPr>
            </w:pPr>
            <w:r>
              <w:rPr>
                <w:rFonts w:ascii="Arial" w:cs="Arial" w:eastAsia="Arial" w:hAnsi="Arial"/>
                <w:sz w:val="18"/>
                <w:szCs w:val="18"/>
                <w:color w:val="auto"/>
              </w:rPr>
              <w:t>72,125</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4"/>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06/27/2023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Dave Boennighausen</w:t>
            </w:r>
          </w:p>
        </w:tc>
        <w:tc>
          <w:tcPr>
            <w:tcW w:w="2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73,333</w:t>
            </w:r>
          </w:p>
        </w:tc>
        <w:tc>
          <w:tcPr>
            <w:tcW w:w="120" w:type="dxa"/>
            <w:vAlign w:val="bottom"/>
            <w:shd w:val="clear" w:color="auto" w:fill="CCEEFF"/>
          </w:tcPr>
          <w:p>
            <w:pPr>
              <w:spacing w:after="0"/>
              <w:rPr>
                <w:sz w:val="22"/>
                <w:szCs w:val="22"/>
                <w:color w:val="auto"/>
              </w:rPr>
            </w:pPr>
          </w:p>
        </w:tc>
        <w:tc>
          <w:tcPr>
            <w:tcW w:w="2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12/27/2020</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22,503</w:t>
            </w:r>
          </w:p>
        </w:tc>
        <w:tc>
          <w:tcPr>
            <w:tcW w:w="12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9.53</w:t>
            </w: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05/14/2022</w:t>
            </w:r>
          </w:p>
        </w:tc>
        <w:tc>
          <w:tcPr>
            <w:tcW w:w="0" w:type="dxa"/>
            <w:vAlign w:val="bottom"/>
          </w:tcPr>
          <w:p>
            <w:pPr>
              <w:spacing w:after="0"/>
              <w:rPr>
                <w:sz w:val="1"/>
                <w:szCs w:val="1"/>
                <w:color w:val="auto"/>
              </w:rPr>
            </w:pPr>
          </w:p>
        </w:tc>
      </w:tr>
      <w:tr>
        <w:trPr>
          <w:trHeight w:val="284"/>
        </w:trPr>
        <w:tc>
          <w:tcPr>
            <w:tcW w:w="2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43,275</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12/06/2022</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20"/>
                <w:szCs w:val="20"/>
                <w:color w:val="auto"/>
              </w:rPr>
            </w:pPr>
            <w:r>
              <w:rPr>
                <w:rFonts w:ascii="Arial" w:cs="Arial" w:eastAsia="Arial" w:hAnsi="Arial"/>
                <w:sz w:val="14"/>
                <w:szCs w:val="14"/>
                <w:color w:val="auto"/>
              </w:rPr>
              <w:t>______________________________</w:t>
            </w:r>
          </w:p>
        </w:tc>
        <w:tc>
          <w:tcPr>
            <w:tcW w:w="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820" w:hanging="569"/>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options vest in 25% increments on each of June 27, 2014, 2015, 2016 and 2017.</w:t>
      </w:r>
    </w:p>
    <w:p>
      <w:pPr>
        <w:spacing w:after="0" w:line="203" w:lineRule="exact"/>
        <w:rPr>
          <w:rFonts w:ascii="Arial" w:cs="Arial" w:eastAsia="Arial" w:hAnsi="Arial"/>
          <w:sz w:val="14"/>
          <w:szCs w:val="14"/>
          <w:color w:val="auto"/>
        </w:rPr>
      </w:pPr>
    </w:p>
    <w:p>
      <w:pPr>
        <w:ind w:left="820" w:hanging="569"/>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options vest on December 6, 2015.</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Acceleration of Equity upon Termination or Termination in Connection with a Change in Control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Severance Agreements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party to employment agreements with each of the Messrs. Reddy and Kinsey (the “Employment Agreements”). Each of the Employment Agreements has a three-year term that commenced on the date of our initial public offering and continues for three years unless earlier terminated. The Employment Agreements automatically extend at the end of the initial term and annually thereafter in each case, for a one year term, unless either party provides at least ninety days’ prior written notice of nonextension.</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Pursuant to the employment agreements, Mr. Reddy received a $1.0 million cash bonus, and Mr. Kinsey received a $500,000 cash bonus, upon the completion of our initial public offering. In addition, Mr. Reddy was granted 259,650 stock options and Mr. Kinsey 144,250 stock options upon completion of our initial public offering pursuant to our Amended and Restated 2010 Stock Incentive Plan, subject to the terms of that plan. One-half of those options were vested upon grant and the other half will vest in equal increments on the first through fourth anniversaries of the grant date. In the event Mr. Reddy or Mr. Kinsey is terminated without cause, resigns for good reason or dies or becomes disabled while employed by the Company, a pro rata portion of the next vesting installment will vest. In addition, if Mr. Reddy or Mr. Kinsey is terminated without cause or resigns for good reason within 12 months following a change in control, any remaining unvested portion of these options will vest.</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Employment Agreement provides for the payment of base salary and bonus, as well as customary employee benefits. Under each of the Employment Agreements, if the executive’s employment is terminated by the Company without “cause” or by the executive with “good reason” (as such terms are defined in the applicable Employment Agreement) the executive is entitled to receive compensation equal to 18 months of the executive’s then-current base salary, payable in equal installments over 18 months, a pro rata bonus for the year of termination and reimbursement of “COBRA” premiums for up to 18 months for the executive and his dependents. The severance payments are conditioned upon the executive entering into a mutual release of claims with us.</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the Employment Agreements also restricts the executive from engaging in a competitive business during his employment and for 18 months thereafter, or soliciting employees at or above the level of vice president or above during his employment and for 12 months thereafter. For this purpose, “competitive business” is defined as any business engaged in the fast casual restaurant business in North America that derives 20% or more of its revenues from the sale of noodle or pasta dishes.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are a party to a Severance Agreement with Mr. Boennighausen dated December 19, 2012 (the “Severance Agreement”). Pursuant to the Severance Agreement, Mr. Boennighausen is an “at-will” employee. If the Company terminates Mr. Boennighausen’s employment without “cause,” (as such term is defined in the Severance Agreement) Mr. Boennighausen is entitled to receive compensation equal to nine months of his then-current base salary, payable in equal installments over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nine months, a pro rata bonus for the year of termination and reimbursement of “COBRA” premiums for up to nine months for Mr. Boennighausen and his dependents. The severance payments are conditioned upon Mr. Boennighausen entering into a mutual release of claims with us. The Severance Agreement also includes similar noncompetition and nonsolicitation covenants as the Employment Agreements, except that the duration of the covenants apply to Mr. Boennighausen during his employment and for nine months thereafter.</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Mr. Boennighausen’s outstanding unrestricted options provide that in the event his employment is terminated without cause within 12 months following a change in control, any remaining unvested portion of such options will vest.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Upon Termination or Change in Control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None of our NEOs is entitled to receive payments or other benefits upon termination of employment or a change in control, except as provided in the Employment Agreements and Severance Agreement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maintain a tax-qualified retirement plan that provides eligible U.S. employees with an opportunity to save for retirement on a tax-advantaged basis. Eligible employees are able to defer eligible compensation subject to applicable annual Code limits. No employer contributions were made to the 401(k) plan in 2012. Contributions are allocated to each participant’s individual account and are then invested in selected investment alternatives according to the participants’ directions. The 401(k) plan is intended to be qualified under Section 401(a) of the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NEOs did not receive any benefits from the Company under any pension or retirement plan we sponsored during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May 16, 2013 the Company adopted The Executive Non-qualified “Excess” Plan (the “Excess Plan”). The Excess Plan provides supplementary benefits to the eligible participants whose benefits under the Company’s 401(k) Plan are limited because of the restriction on annual contributions that may be made to a qualified defined contribution plan and/or the limitation on compensation that may be taken into account in calculating contributions to such a plan. Our NEOs did not earn any nonqualified deferred compensation benefits from us during 2013 under the Excess Plan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information as of December 31, 2013, about shares of common stock that may be issued under our equity compensation plans.</w:t>
      </w:r>
    </w:p>
    <w:p>
      <w:pPr>
        <w:spacing w:after="0" w:line="9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 remaining</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Number of securities to</w:t>
            </w:r>
          </w:p>
        </w:tc>
        <w:tc>
          <w:tcPr>
            <w:tcW w:w="1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Weighted-average exercise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available for future issuance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1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plans (excluding securities</w:t>
            </w:r>
          </w:p>
        </w:tc>
        <w:tc>
          <w:tcPr>
            <w:tcW w:w="0" w:type="dxa"/>
            <w:vAlign w:val="bottom"/>
          </w:tcPr>
          <w:p>
            <w:pPr>
              <w:spacing w:after="0"/>
              <w:rPr>
                <w:sz w:val="1"/>
                <w:szCs w:val="1"/>
                <w:color w:val="auto"/>
              </w:rPr>
            </w:pPr>
          </w:p>
        </w:tc>
      </w:tr>
      <w:tr>
        <w:trPr>
          <w:trHeight w:val="149"/>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and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85"/>
        </w:trPr>
        <w:tc>
          <w:tcPr>
            <w:tcW w:w="3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and warrants (a)</w:t>
            </w: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-8255</wp:posOffset>
            </wp:positionV>
            <wp:extent cx="584898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985" cy="30861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3" w:lineRule="exact"/>
        <w:rPr>
          <w:sz w:val="20"/>
          <w:szCs w:val="20"/>
          <w:color w:val="auto"/>
        </w:rPr>
      </w:pPr>
    </w:p>
    <w:p>
      <w:pPr>
        <w:ind w:left="1140" w:right="280"/>
        <w:spacing w:after="0" w:line="237" w:lineRule="auto"/>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5"/>
          <w:szCs w:val="25"/>
          <w:color w:val="auto"/>
          <w:vertAlign w:val="superscript"/>
        </w:rPr>
        <w:t>(1)</w:t>
      </w:r>
    </w:p>
    <w:p>
      <w:pPr>
        <w:ind w:left="1140"/>
        <w:spacing w:after="0" w:line="259" w:lineRule="auto"/>
        <w:rPr>
          <w:sz w:val="20"/>
          <w:szCs w:val="20"/>
          <w:color w:val="auto"/>
        </w:rPr>
      </w:pPr>
      <w:r>
        <w:rPr>
          <w:rFonts w:ascii="Arial" w:cs="Arial" w:eastAsia="Arial" w:hAnsi="Arial"/>
          <w:sz w:val="18"/>
          <w:szCs w:val="18"/>
          <w:color w:val="auto"/>
        </w:rPr>
        <w:t>Equity compensation plans not approved by security holders</w:t>
      </w:r>
    </w:p>
    <w:p>
      <w:pPr>
        <w:spacing w:after="0" w:line="3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1620" w:type="dxa"/>
            <w:vAlign w:val="bottom"/>
          </w:tcPr>
          <w:p>
            <w:pPr>
              <w:jc w:val="right"/>
              <w:spacing w:after="0"/>
              <w:rPr>
                <w:sz w:val="20"/>
                <w:szCs w:val="20"/>
                <w:color w:val="auto"/>
              </w:rPr>
            </w:pPr>
            <w:r>
              <w:rPr>
                <w:rFonts w:ascii="Arial" w:cs="Arial" w:eastAsia="Arial" w:hAnsi="Arial"/>
                <w:sz w:val="18"/>
                <w:szCs w:val="18"/>
                <w:color w:val="auto"/>
              </w:rPr>
              <w:t>3,367,572</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4,053,429</w:t>
            </w:r>
          </w:p>
        </w:tc>
      </w:tr>
      <w:tr>
        <w:trPr>
          <w:trHeight w:val="473"/>
        </w:trPr>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2"/>
        </w:trPr>
        <w:tc>
          <w:tcPr>
            <w:tcW w:w="1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r>
      <w:tr>
        <w:trPr>
          <w:trHeight w:val="244"/>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3,367,572</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4,053,429</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-196850</wp:posOffset>
            </wp:positionV>
            <wp:extent cx="584898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8985" cy="18034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4300" w:space="280"/>
            <w:col w:w="6840"/>
          </w:cols>
          <w:pgMar w:left="240" w:top="125" w:right="239" w:bottom="1440" w:gutter="0" w:footer="0" w:header="0"/>
          <w:type w:val="continuous"/>
        </w:sectPr>
      </w:pPr>
    </w:p>
    <w:p>
      <w:pPr>
        <w:ind w:left="660" w:right="80" w:hanging="328"/>
        <w:spacing w:after="0" w:line="320" w:lineRule="auto"/>
        <w:tabs>
          <w:tab w:leader="none" w:pos="6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Includes in column (a) 3,309,872 shares of Class A common stock issuable upon exercise of options outstanding under the Company’s Stock Incentive Plan and 57,700 shares of Class B common stock issuable upon exercise of a warrant granted to a consultant. Includes in column (c) 3,321,785 shares of Class A common stock available for issuance upon exercise of future grants under the Company’s Stock Incentive Plan and 731,644 shares of Class A common stock available for future issuance under the Company’s Employee Stock Purchase Plan.</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3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October 2013, we adopted a non-employee director compensation plan covering non-employee directors other than directors affiliated with Catterton or PSPIB. Under the plan, each non-employee director covered by the plan receives an annual cash retainer for board service, an annual cash retainer for committee service and an annual cash retainer for serving as chair of a committee. The board has currently fixed the retainer for board service at $50,000 per year, and it has fixed each of the retainers for committee service and committee chair at $10,000 per year. In addition, at the close of business on the date of the Company’s annual meeting of stockholders, each non-employee director covered by the plan will receive an annual retainer stock option under the plan, which shall vest on the date of the next annual meeting of stockholders. The annual retainer grant made in 2014 will have a value, as determined by the Board of Directors in good faith using the Black-Scholes valuation formula, of $62,500, consisting of a $50,000 annual retainer grant and a $12,500 pro rata grant for service beginning in the fourth fiscal quarter of 2013. Such grant will have the other terms provided for in the Plan, the Stock Plan and the award agreement providing for such grant.</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Directors who are also employees, such as Mr. Reddy and Mr. Kinsey, do not and will not receive any compensation for their services as directors. In addition, directors appointed by Catterton and Argentia have not received any compensation for their services as directors and shall not receive any such compensation for two years following the closing date of our IPO in June 2013. Thereafter, the Company shall pay the directors appointed by Catterton and Argentia an annual fee of $100,000 (or such other amount that may be determined by the Board of Directors to be payable to non-employee directors) for each such director serving on the Board of Directors; provided, that any fees otherwise payable to directors appointed by Catterton shall instead be paid directly to Catterton Management Company, L.L.C. and any fees otherwise payable to directors appointed by Argentia shall instead be paid directly to Argentia.</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Directors have been and will continue to be reimbursed for travel, food, lodging and other expenses directly related to their activities as directors. Directors are also entitled to the protection provided by their indemnification agreements and the indemnification provisions in our certificate of incorporation and bylaws, as well as the protection provided by director and office liability insurance provided by us.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The following table sets forth information concerning the compensation of our independent directors for the fiscal year ended December 31, 2013.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231F20"/>
        </w:rPr>
        <w:t>Name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231F20"/>
        </w:rPr>
        <w:t>Fees earned or</w:t>
      </w:r>
    </w:p>
    <w:p>
      <w:pPr>
        <w:spacing w:after="0" w:line="49"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231F20"/>
        </w:rPr>
        <w:t>paid in cash</w:t>
      </w:r>
    </w:p>
    <w:p>
      <w:pPr>
        <w:spacing w:after="0" w:line="19"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231F20"/>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Total</w:t>
      </w:r>
    </w:p>
    <w:p>
      <w:pPr>
        <w:spacing w:after="0" w:line="62" w:lineRule="exact"/>
        <w:rPr>
          <w:sz w:val="20"/>
          <w:szCs w:val="20"/>
          <w:color w:val="auto"/>
        </w:rPr>
      </w:pPr>
    </w:p>
    <w:p>
      <w:pPr>
        <w:sectPr>
          <w:pgSz w:w="11900" w:h="16838" w:orient="portrait"/>
          <w:cols w:equalWidth="0" w:num="3">
            <w:col w:w="7280" w:space="720"/>
            <w:col w:w="1680" w:space="720"/>
            <w:col w:w="10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7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31F20"/>
              </w:rPr>
              <w:t>Jeffrey Jones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231F20"/>
                <w:w w:val="99"/>
              </w:rPr>
              <w:t>$</w:t>
            </w:r>
          </w:p>
        </w:tc>
        <w:tc>
          <w:tcPr>
            <w:tcW w:w="1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31F20"/>
              </w:rPr>
              <w:t>17,500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231F20"/>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31F20"/>
              </w:rPr>
              <w:t>17,500</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231F20"/>
              </w:rPr>
              <w:t>James Rand</w:t>
            </w:r>
          </w:p>
        </w:tc>
        <w:tc>
          <w:tcPr>
            <w:tcW w:w="8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231F20"/>
              </w:rPr>
              <w:t>15,000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231F20"/>
              </w:rPr>
              <w:t>15,000</w:t>
            </w:r>
          </w:p>
        </w:tc>
      </w:tr>
      <w:tr>
        <w:trPr>
          <w:trHeight w:val="231"/>
        </w:trPr>
        <w:tc>
          <w:tcPr>
            <w:tcW w:w="7320" w:type="dxa"/>
            <w:vAlign w:val="bottom"/>
          </w:tcPr>
          <w:p>
            <w:pPr>
              <w:ind w:left="60"/>
              <w:spacing w:after="0"/>
              <w:rPr>
                <w:sz w:val="20"/>
                <w:szCs w:val="20"/>
                <w:color w:val="auto"/>
              </w:rPr>
            </w:pPr>
            <w:r>
              <w:rPr>
                <w:rFonts w:ascii="Arial" w:cs="Arial" w:eastAsia="Arial" w:hAnsi="Arial"/>
                <w:sz w:val="14"/>
                <w:szCs w:val="14"/>
                <w:color w:val="auto"/>
              </w:rPr>
              <w:t>________________________</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24" w:lineRule="exact"/>
        <w:rPr>
          <w:sz w:val="20"/>
          <w:szCs w:val="20"/>
          <w:color w:val="auto"/>
        </w:rPr>
      </w:pPr>
    </w:p>
    <w:p>
      <w:pPr>
        <w:ind w:left="660" w:right="560" w:hanging="409"/>
        <w:spacing w:after="0" w:line="275"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amounts represent the pro-rated annual retainer earned by each director beginning in the fourth quarter of fiscal 2013, when the non-employee director compensation plan was adopted, as well as pro-rated annual fees for committee service during such time period.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3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is a description of each transaction since January 2, 2013 to which we have been a party, in which the amount involved exceeded or will exceed $120,000, and in which any of our directors, executive officers or beneficial holders of more than 5% of either our Class A or our Class B common stock had or will have a direct or indirect material interest.</w:t>
      </w:r>
    </w:p>
    <w:p>
      <w:pPr>
        <w:spacing w:after="0" w:line="12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Stockholders Agreement. </w:t>
      </w:r>
      <w:r>
        <w:rPr>
          <w:rFonts w:ascii="Arial" w:cs="Arial" w:eastAsia="Arial" w:hAnsi="Arial"/>
          <w:sz w:val="16"/>
          <w:szCs w:val="16"/>
          <w:color w:val="auto"/>
        </w:rPr>
        <w:t>In connection with our initial public offering, we entered into a stockholders agreement with our Sponsors that became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completion of the initial public offering. The stockholders agreement contains agreements with respect to restrictions on the sale, issuance or transfer of shares that prevent either Sponsor from transferring its shares without the consent of the other Sponsor, except in connection with a tag along sale of common stock by both Sponsors or pursuant to the registration rights agreement, which is described below, until the earlier of the second anniversary of the offering and the time at which such Sponsor holds less than 25% of our outstanding Class A and Class B common stock. The stockholders agreement also grants our Sponsors the right, subject to certain conditions, to nominate representatives to our Board of Directors and committees of our Board of Directors. Catterton and Argentia each will have the right to designate two members to our Board of Directors, and the parties to the stockholders agreement will agree to vote to elect such director designees. If at any time a Sponsor owns more than 10% and less than 20% of our outstanding Class A and Class B common stock, such Sponsor has the right to designate one nominee for election to our Board of Directors. If a Sponsor’s ownership level falls below 10% of our outstanding Class A and Class B common stock, such Sponsor will no longer have a right to designate a nominee. In addition, for so long as Catterton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and Argentia hold at least 35% of the voting power of our outstanding common stock, certain actions may not be taken without the approval of Catterton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Argentia, including:</w:t>
      </w:r>
    </w:p>
    <w:p>
      <w:pPr>
        <w:spacing w:after="0" w:line="211" w:lineRule="exact"/>
        <w:rPr>
          <w:sz w:val="20"/>
          <w:szCs w:val="20"/>
          <w:color w:val="auto"/>
        </w:rPr>
      </w:pPr>
    </w:p>
    <w:p>
      <w:pPr>
        <w:ind w:left="1060" w:right="20" w:hanging="242"/>
        <w:spacing w:after="0" w:line="25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merger, recapitalization or other adjustment in voting rights, if following such event, Catterton and Argentia would not together have sufficient voting power or otherwise be entitled to elect a majority of the Board;</w:t>
      </w:r>
    </w:p>
    <w:p>
      <w:pPr>
        <w:spacing w:after="0" w:line="1" w:lineRule="exact"/>
        <w:rPr>
          <w:rFonts w:ascii="Arial" w:cs="Arial" w:eastAsia="Arial" w:hAnsi="Arial"/>
          <w:sz w:val="18"/>
          <w:szCs w:val="18"/>
          <w:color w:val="auto"/>
        </w:rPr>
      </w:pPr>
    </w:p>
    <w:p>
      <w:pPr>
        <w:ind w:left="1060" w:hanging="242"/>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sale of all or substantially all the assets of the Company;</w:t>
      </w:r>
    </w:p>
    <w:p>
      <w:pPr>
        <w:spacing w:after="0" w:line="9" w:lineRule="exact"/>
        <w:rPr>
          <w:rFonts w:ascii="Arial" w:cs="Arial" w:eastAsia="Arial" w:hAnsi="Arial"/>
          <w:sz w:val="18"/>
          <w:szCs w:val="18"/>
          <w:color w:val="auto"/>
        </w:rPr>
      </w:pPr>
    </w:p>
    <w:p>
      <w:pPr>
        <w:ind w:left="1060" w:hanging="242"/>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any capital stock of us or any of our subsidiaries, other than certain issuances upon the grant of equity awards;</w:t>
      </w:r>
    </w:p>
    <w:p>
      <w:pPr>
        <w:spacing w:after="0" w:line="9" w:lineRule="exact"/>
        <w:rPr>
          <w:rFonts w:ascii="Arial" w:cs="Arial" w:eastAsia="Arial" w:hAnsi="Arial"/>
          <w:sz w:val="18"/>
          <w:szCs w:val="18"/>
          <w:color w:val="auto"/>
        </w:rPr>
      </w:pPr>
    </w:p>
    <w:p>
      <w:pPr>
        <w:ind w:left="1060" w:hanging="242"/>
        <w:spacing w:after="0" w:line="250"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any new class or series of shares of equity securities having rights, preferences or privileges senior to or on a parity with the common stock; or</w:t>
      </w:r>
    </w:p>
    <w:p>
      <w:pPr>
        <w:ind w:left="1060" w:hanging="242"/>
        <w:spacing w:after="0" w:line="261"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amendment of our certificate of incorporation, bylaws or equivalent organization documents of the Company or any subsidiary of the Company in a manner that could reasonably be expected to adversely affect the rights of Catterton or Argentia.</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Management Services</w:t>
      </w:r>
      <w:r>
        <w:rPr>
          <w:rFonts w:ascii="Arial" w:cs="Arial" w:eastAsia="Arial" w:hAnsi="Arial"/>
          <w:sz w:val="18"/>
          <w:szCs w:val="18"/>
          <w:color w:val="auto"/>
        </w:rPr>
        <w:t>. Catterton Management Company, LLC, an affiliate of Catterton, provided certain management services to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such services Catterton Management Company, LLC received an annual management fee of $500,000 during periods prior to our initial public offering. Argentia held the sole share of our Class C common stock, which entitled it to receive annual dividends of $500,000 payable at the same times and in the same amounts as the management fees payable to Catterton Management Company, LLC. In connection with the Company’s initial public offering, the share of Class C common stock was redeemed and the services arrangement with Catterton Management Company, LLC was terminated, in each case for no consideration. In 2013, the Company paid $250,000 in management fees to Catterton Management Company, LLC and $250,000 in Class C dividends to Argentia.</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Transaction Payments</w:t>
      </w:r>
      <w:r>
        <w:rPr>
          <w:rFonts w:ascii="Arial" w:cs="Arial" w:eastAsia="Arial" w:hAnsi="Arial"/>
          <w:sz w:val="18"/>
          <w:szCs w:val="18"/>
          <w:color w:val="auto"/>
        </w:rPr>
        <w:t>. In connection with our initial public offering we made a transaction payment of $400,000 to Catterton and we paid a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of $400,000 on the one outstanding share of Class C common stock held by Argentia.</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Repurchase Agreement. </w:t>
      </w:r>
      <w:r>
        <w:rPr>
          <w:rFonts w:ascii="Arial" w:cs="Arial" w:eastAsia="Arial" w:hAnsi="Arial"/>
          <w:sz w:val="17"/>
          <w:szCs w:val="17"/>
          <w:color w:val="auto"/>
        </w:rPr>
        <w:t>In connection with our follow-on offering in the fourth quarter of 2013, we entered into a repurchase agreement on December 5,</w:t>
      </w:r>
      <w:r>
        <w:rPr>
          <w:rFonts w:ascii="Arial" w:cs="Arial" w:eastAsia="Arial" w:hAnsi="Arial"/>
          <w:sz w:val="17"/>
          <w:szCs w:val="17"/>
          <w:i w:val="1"/>
          <w:iCs w:val="1"/>
          <w:color w:val="auto"/>
        </w:rPr>
        <w:t xml:space="preserve"> </w:t>
      </w:r>
      <w:r>
        <w:rPr>
          <w:rFonts w:ascii="Arial" w:cs="Arial" w:eastAsia="Arial" w:hAnsi="Arial"/>
          <w:sz w:val="17"/>
          <w:szCs w:val="17"/>
          <w:color w:val="auto"/>
        </w:rPr>
        <w:t>2013 with certain of our officers to repurchase an aggregate of 108,267 shares of Class A common stock directly from them in a private, non-underwritten transaction at a price per share equal to the net proceeds per share the selling stockholders received in the follow-on offering, $37.92. In connection with this transaction, we repurchased 78,102 shares of Class A common stock from Keith Kinsey, 8,444 shares of Class A common stock from Dave Boennighausen, 12,122 shares of Class A common stock from Paul Strasen, 5,195 shares of Class A common stock from Phil Petrilli and 4,404 shares of Class A common stock from Kathy Lockhart. The aggregate value of the repurchase was $4,105,485.</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Control Relationships</w:t>
      </w:r>
      <w:r>
        <w:rPr>
          <w:rFonts w:ascii="Arial" w:cs="Arial" w:eastAsia="Arial" w:hAnsi="Arial"/>
          <w:sz w:val="17"/>
          <w:szCs w:val="17"/>
          <w:color w:val="auto"/>
        </w:rPr>
        <w:t>. Catterton and Argentia each own approximately 28% of our equity interests; however, the terms of the certificate of incorporation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prevent control by either Sponsor acting on its own. However, under the stockholders agreement our Sponsors have agreed to elect each other’s director nominees and to not take certain actions affecting us without the consent of the other Sponsor. See “—Stockholders Agreement”, above, for a description of the material provisions of the stockholders agreement. As a result, our Sponsors could potentially have significant influence over all matters presented to our stockholders for approval, including election and removal of our directors and change in control transactions.</w:t>
      </w:r>
    </w:p>
    <w:p>
      <w:pPr>
        <w:spacing w:after="0" w:line="11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Pursuant to the terms of a registration rights agreement between us and certain holders of our stock, including Catterton, certain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and Argentia, certain holders of our stock are entitled to demand and piggyback rights:</w:t>
      </w:r>
    </w:p>
    <w:p>
      <w:pPr>
        <w:spacing w:after="0" w:line="1" w:lineRule="exact"/>
        <w:rPr>
          <w:sz w:val="20"/>
          <w:szCs w:val="20"/>
          <w:color w:val="auto"/>
        </w:rPr>
      </w:pPr>
    </w:p>
    <w:p>
      <w:pPr>
        <w:jc w:val="both"/>
        <w:ind w:left="1060" w:hanging="242"/>
        <w:spacing w:after="0" w:line="250"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Demand Registrations</w:t>
      </w:r>
      <w:r>
        <w:rPr>
          <w:rFonts w:ascii="Arial" w:cs="Arial" w:eastAsia="Arial" w:hAnsi="Arial"/>
          <w:sz w:val="18"/>
          <w:szCs w:val="18"/>
          <w:color w:val="auto"/>
        </w:rPr>
        <w:t>. Under the registration rights agreement, both Catterton and Argentia are able to require us to file a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under the Securities Act, covering at least 10% of our equity interests, and we are required to notify holders of such securities in the event of such request (a “Demand Registration Request”). Each of Catterton and Argentia can issue unlimited Demand Registration Requests, unless we are ineligible to use Form S-3, in which case we will not be obligated to grant more than three Demand Registration Requests to each of Catterton and Argentia during such period of ineligibility.</w:t>
      </w:r>
    </w:p>
    <w:p>
      <w:pPr>
        <w:spacing w:after="0" w:line="2" w:lineRule="exact"/>
        <w:rPr>
          <w:rFonts w:ascii="Arial" w:cs="Arial" w:eastAsia="Arial" w:hAnsi="Arial"/>
          <w:sz w:val="18"/>
          <w:szCs w:val="18"/>
          <w:color w:val="auto"/>
        </w:rPr>
      </w:pPr>
    </w:p>
    <w:p>
      <w:pPr>
        <w:jc w:val="both"/>
        <w:ind w:left="1060" w:hanging="242"/>
        <w:spacing w:after="0" w:line="25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Piggyback Registrations</w:t>
      </w:r>
      <w:r>
        <w:rPr>
          <w:rFonts w:ascii="Arial" w:cs="Arial" w:eastAsia="Arial" w:hAnsi="Arial"/>
          <w:sz w:val="18"/>
          <w:szCs w:val="18"/>
          <w:color w:val="auto"/>
        </w:rPr>
        <w:t>. Under the Registration Rights Agreement, if at any time we propose or are required to register any of our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under the Securities Act (other than a demand registration or pursuant to an employee benefit or dividend reinvestment plan), we will be required to notify each eligible holder of its right to participate in such registration and to use commercially reasonable efforts to cause all eligible securities requested to be included in the registration to be so included.</w:t>
      </w:r>
    </w:p>
    <w:p>
      <w:pPr>
        <w:spacing w:after="0" w:line="1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Procedures for Approval of Related Party Transactions. </w:t>
      </w:r>
      <w:r>
        <w:rPr>
          <w:rFonts w:ascii="Arial" w:cs="Arial" w:eastAsia="Arial" w:hAnsi="Arial"/>
          <w:sz w:val="18"/>
          <w:szCs w:val="18"/>
          <w:color w:val="auto"/>
        </w:rPr>
        <w:t>Our policies on related party transactions, which are included in our Audit Committee charter,</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Corporate Governance Committee charter, and our Employee Code of Business Conduct and Ethics, address the policies and procedures for review and approval of related party transactions. These policies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cover certain relationships and material obligations and interests. These policies provide that, in determining whether or not to recommend the initial approval or ratification of a related party transaction, all relevant facts and circumstances available shall be considered. The Nominating and Corporate Governance Committee and Audit Committee are both responsible for approval and ratification of certain related person transactions pursuant to the applicable policies and procedures.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will not otherwise be deemed “soliciting material” or “filed” under either the Securities Act of 1933 or the Securities Exchange Act of 1934.</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principal purpose of the Audit Committee is to assist the Board of Directors in its oversight of (i) the integrity of our accounting and financial reporting processes and the audits of our financial statements; (ii) our system of disclosure controls and internal controls over financial reporting; (iii) our compliance with legal and regulatory requirements; (iv) the qualifications and independence of our independent auditor; (v) the performance of our independent auditors; and (vi) the business practices and ethical standards of the Company. The Audit Committee is responsible for the appointment, compensation, retention and oversight of work of the Company's independent auditor. The Audit Committee’s function is more fully described in its charter.</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Ernst &amp; Young LLP, or Ernst &amp; Young, our independent registered public accounting firm for 2013, was responsible for performing an independent audit of our consolidated financial statements included in our Annual Report on Form 10-K for the year ended December 31, 2013, and expressing an opinion on the conformity of those financial statements with generally accepted accounting principles.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Audit Committee has reviewed and discussed with management our audited financial statements included in our Annual Report on Form 10-K for the year ended December 31, 2013.</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Audit Committee has also reviewed and discussed with Ernst &amp; Young the audited financial statements in the Form 10-K. In addition, the Audit Committee discussed with Ernst &amp; Young those matters required to be discussed under applicable standards of the Public Company Accounting Oversight Board (the "PCAOB"). Additionally, Ernst &amp; Young provided to the Audit Committee the written disclosures and the letter required by applicable requirements of the PCAOB regarding Ernst &amp; Young’s communications with the Audit Committee concerning independence. The Audit Committee also discussed with Ernst &amp; Young its independence from the Company.</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upon the review and discussions described above, the Audit Committee recommended to the Board of Directors that the audited financial statements be included in the Form 10-K for filing with the SEC.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Jones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Stuart Frenkiel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Rand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16(a) of the Securities Exchange Act of 1934 and SEC rules require our directors, executive officers and persons who own more than 10% of any class of our common stock to file reports of their ownership and changes in ownership of our common stock with the Securities and Exchange Commission. Based solely on our review of the reports filed during 2013, and on written representations from such reporting persons, we determined that no director, executive officer or beneficial owner of more than 10% of any class of our common stock failed to file on a timely basis during 2013, except that one Form 4 reporting one transaction of PSPIB was filed late.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3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Stockholder proposals for inclusion in the Company’s Proxy Statement and form of proxy relating to the Company’s 2015 annual meeting of stockholders to be held in 2015 must be received by the Company at the principal executive offices of the Company no later than the close of business on November 19, 2014. Stockholders wishing to make a director nomination or bring a proposal before the annual meeting to be held in 2015 (but not include it in the Company’s proxy materials) must provide written notice of such proposal to the Secretary of the Company at the principal executive offices of the Company not later than the close of business on January 30, 2015 and not earlier than the close of business on December 31, 2014, assuming the Company does not change the date of the 2015 annual meeting of stockholders by more than 30 days before or 70 days after the anniversary of the 2014 Annual Meeting. Any matter so submitted must comply with the other provisions of the Company’s bylaws and be submitted in writing to the Secretary at the principal executive offices.</w:t>
      </w:r>
    </w:p>
    <w:p>
      <w:pPr>
        <w:spacing w:after="0" w:line="296"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DIRECTORS’ ATTENDANCE AT ANNUAL STOCKHOLDER MEETINGS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invites its Board members to attend its annual stockholder meetings and requires that they make every effort to attend the annual meetings absent an unavoidable and irreconcilable conflict.</w:t>
      </w:r>
    </w:p>
    <w:p>
      <w:pPr>
        <w:spacing w:after="0" w:line="27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STOCKHOLDER COMMUNICATIONS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security holder of the Company wishing to communicate with the Board may write to the Board at Board of Directors, c/o Corporate Secretary, 520 Zang Street, Suite D, Broomfield, CO 80021, or by email at investorrelations@noodles.com.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or individual directors so addressed will be advised of any communication withheld for safety or security reasons as soon as practicable.</w:t>
      </w:r>
    </w:p>
    <w:p>
      <w:pPr>
        <w:spacing w:after="0" w:line="173"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In addition, any person wishing to communicate with Scott Dahnke, the Company's lead independent director, or with the Company's independent directors may do so by writing to them, c/o Corporate Secretary, 520 Zang Street, Suite D, Broomfield, CO 80021, or by email at investorrelations@noodles.com.</w:t>
      </w:r>
    </w:p>
    <w:p>
      <w:pPr>
        <w:spacing w:after="0" w:line="28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OTHER BUSINESS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does not presently intend to bring any other business before the Annual Meeting, and, so far as is known to the Board, no matters are to be brought before the Annual Meeting except as specified in the Notice of the Annual Meeting. As to any business that may properly come before the Annual Meeting, however, it is intended that proxies, in the form enclosed, will be voted in respect thereof in accordance with the judgment of the persons voting such proxies.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Whether or not you expect to attend the meeting, please complete, date, sign and promptly return the accompanying proxy in the enclosed postage paid envelope, or vote via the Internet or by telephone, so that your shares may be represented at the meeting.</w:t>
      </w:r>
    </w:p>
    <w:p>
      <w:pPr>
        <w:spacing w:after="0" w:line="166"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Securities and Exchange Commission under the Securities Exchange Act of 1934, as amended.</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make available free of charge on or through our Internet website, investor.noodles.com,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SEC's Internet website, www.sec.gov, also contains reports, proxy statements and other information about issuers, like us, who file electronically with the SEC.</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WE WILL PROVIDE, WITHOUT CHARGE, ON THE WRITTEN REQUEST OF ANY STOCKHOLDER, A COPY OF OUR 2013 ANNUAL REPORT ON FORM 10-K, INCLUDING THE FINANCIAL STATEMENTS AND THE FINANCIAL STATEMENT SCHEDULES REQUIRED TO BE FILED WITH THE SEC PURSUANT TO RULE 13A-1. STOCKHOLDERS SHOULD DIRECT SUCH REQUESTS TO THE COMPANY’S SECRETARY AT 520 ZANG STREET, SUITE D, BROOMFIELD, CO 80021, OR BY EMAIL AT INVESTORRELATIONS@NOODLES.COM.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243205</wp:posOffset>
            </wp:positionV>
            <wp:extent cx="5848985" cy="7572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243205</wp:posOffset>
            </wp:positionV>
            <wp:extent cx="5848985" cy="7572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lvl w:ilvl="1">
      <w:lvlJc w:val="left"/>
      <w:lvlText w:val="(%2)"/>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amp;"/>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lvl w:ilvl="1">
      <w:lvlJc w:val="left"/>
      <w:lvlText w:val="(%2)"/>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2019-12-07T06:15:26Z</dcterms:created>
  <dcterms:modified xsi:type="dcterms:W3CDTF">2019-12-07T06:15:26Z</dcterms:modified>
</cp:coreProperties>
</file>