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lineRule="auto" w:line="288" w:before="160" w:after="160"/>
        <w:jc w:val="left"/>
        <w:rPr/>
      </w:pPr>
      <w:hyperlink w:anchor="i0388035fcf6a4f6ca5f569f2895a7d6a_10">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ind w:left="0" w:right="0" w:firstLine="720"/>
        <w:jc w:val="center"/>
        <w:rPr>
          <w:rFonts w:ascii="Times New Roman;serif" w:hAnsi="Times New Roman;serif"/>
          <w:b/>
          <w:color w:val="000000"/>
          <w:sz w:val="32"/>
        </w:rPr>
      </w:pPr>
      <w:r>
        <w:rPr>
          <w:rFonts w:ascii="Times New Roman;serif" w:hAnsi="Times New Roman;serif"/>
          <w:b/>
          <w:color w:val="000000"/>
          <w:sz w:val="32"/>
        </w:rPr>
        <w:t>UNITED STATES</w:t>
      </w:r>
    </w:p>
    <w:p>
      <w:pPr>
        <w:pStyle w:val="TextBody"/>
        <w:bidi w:val="0"/>
        <w:spacing w:lineRule="auto" w:line="288" w:before="0" w:after="160"/>
        <w:jc w:val="center"/>
        <w:rPr>
          <w:rFonts w:ascii="Times New Roman;serif" w:hAnsi="Times New Roman;serif"/>
          <w:b/>
          <w:color w:val="000000"/>
          <w:sz w:val="32"/>
        </w:rPr>
      </w:pPr>
      <w:r>
        <w:rPr>
          <w:rFonts w:ascii="Times New Roman;serif" w:hAnsi="Times New Roman;serif"/>
          <w:b/>
          <w:color w:val="000000"/>
          <w:sz w:val="32"/>
        </w:rPr>
        <w:t>SECURITIES AND EXCHANGE COMMISSION</w:t>
      </w:r>
    </w:p>
    <w:p>
      <w:pPr>
        <w:pStyle w:val="TextBody"/>
        <w:bidi w:val="0"/>
        <w:spacing w:lineRule="auto" w:line="288" w:before="0" w:after="0"/>
        <w:jc w:val="center"/>
        <w:rPr>
          <w:rFonts w:ascii="Times New Roman;serif" w:hAnsi="Times New Roman;serif"/>
          <w:b/>
          <w:color w:val="000000"/>
          <w:sz w:val="16"/>
        </w:rPr>
      </w:pPr>
      <w:r>
        <w:rPr>
          <w:rFonts w:ascii="Times New Roman;serif" w:hAnsi="Times New Roman;serif"/>
          <w:b/>
          <w:color w:val="000000"/>
          <w:sz w:val="16"/>
        </w:rPr>
        <w:t>WASHINGTON, DC 20549</w:t>
      </w:r>
    </w:p>
    <w:p>
      <w:pPr>
        <w:pStyle w:val="TextBody"/>
        <w:bidi w:val="0"/>
        <w:spacing w:lineRule="auto" w:line="288" w:before="0" w:after="160"/>
        <w:jc w:val="center"/>
        <w:rPr>
          <w:rFonts w:ascii="Times New Roman;serif" w:hAnsi="Times New Roman;serif"/>
          <w:b w:val="false"/>
          <w:color w:val="000000"/>
          <w:sz w:val="16"/>
        </w:rPr>
      </w:pPr>
      <w:r>
        <w:rPr>
          <w:rFonts w:ascii="Times New Roman;serif" w:hAnsi="Times New Roman;serif"/>
          <w:b w:val="false"/>
          <w:color w:val="000000"/>
          <w:sz w:val="16"/>
        </w:rPr>
        <w:t>_____________________________________________________________</w:t>
      </w:r>
    </w:p>
    <w:p>
      <w:pPr>
        <w:pStyle w:val="TextBody"/>
        <w:bidi w:val="0"/>
        <w:spacing w:lineRule="auto" w:line="288" w:before="0" w:after="0"/>
        <w:jc w:val="center"/>
        <w:rPr>
          <w:rFonts w:ascii="Times New Roman;serif" w:hAnsi="Times New Roman;serif"/>
          <w:b/>
          <w:color w:val="000000"/>
          <w:sz w:val="32"/>
        </w:rPr>
      </w:pPr>
      <w:r>
        <w:rPr>
          <w:rFonts w:ascii="Times New Roman;serif" w:hAnsi="Times New Roman;serif"/>
          <w:b/>
          <w:color w:val="000000"/>
          <w:sz w:val="32"/>
        </w:rPr>
        <w:t xml:space="preserve">FORM 10-Q </w:t>
      </w:r>
    </w:p>
    <w:p>
      <w:pPr>
        <w:pStyle w:val="TextBody"/>
        <w:bidi w:val="0"/>
        <w:spacing w:lineRule="auto" w:line="288" w:before="0" w:after="0"/>
        <w:jc w:val="center"/>
        <w:rPr>
          <w:rFonts w:ascii="Times New Roman;serif" w:hAnsi="Times New Roman;serif"/>
          <w:b w:val="false"/>
          <w:color w:val="000000"/>
          <w:sz w:val="16"/>
        </w:rPr>
      </w:pPr>
      <w:r>
        <w:rPr>
          <w:rFonts w:ascii="Times New Roman;serif" w:hAnsi="Times New Roman;serif"/>
          <w:b w:val="false"/>
          <w:color w:val="000000"/>
          <w:sz w:val="16"/>
        </w:rPr>
        <w:t>_____________________________________________________________</w:t>
      </w:r>
    </w:p>
    <w:p>
      <w:pPr>
        <w:pStyle w:val="TextBody"/>
        <w:bidi w:val="0"/>
        <w:spacing w:before="0" w:after="0"/>
        <w:ind w:left="0" w:right="0" w:hanging="360"/>
        <w:jc w:val="center"/>
        <w:rPr/>
      </w:pPr>
      <w:r>
        <w:rPr/>
      </w:r>
    </w:p>
    <w:p>
      <w:pPr>
        <w:pStyle w:val="TextBody"/>
        <w:bidi w:val="0"/>
        <w:spacing w:before="0" w:after="100"/>
        <w:jc w:val="left"/>
        <w:rPr/>
      </w:pPr>
      <w:r>
        <w:rPr/>
      </w:r>
    </w:p>
    <w:p>
      <w:pPr>
        <w:pStyle w:val="TextBody"/>
        <w:bidi w:val="0"/>
        <w:spacing w:lineRule="auto" w:line="288" w:before="0" w:after="0"/>
        <w:jc w:val="center"/>
        <w:rPr/>
      </w:pPr>
      <w:r>
        <w:rPr>
          <w:color w:val="000000"/>
        </w:rPr>
        <w:t xml:space="preserve">    ☒    </w:t>
      </w:r>
      <w:r>
        <w:rPr>
          <w:rFonts w:ascii="Times New Roman;serif" w:hAnsi="Times New Roman;serif"/>
          <w:b/>
          <w:color w:val="000000"/>
          <w:sz w:val="20"/>
        </w:rPr>
        <w:t>QUARTERLY REPORT PURSUANT TO SECTION 13 OR 15(d) OF THE SECURITIES EXCHANGE ACT OF 1934</w:t>
      </w:r>
      <w:r>
        <w:rPr>
          <w:color w:val="000000"/>
        </w:rPr>
        <w:t> </w:t>
      </w:r>
    </w:p>
    <w:p>
      <w:pPr>
        <w:pStyle w:val="TextBody"/>
        <w:bidi w:val="0"/>
        <w:spacing w:lineRule="auto" w:line="288" w:before="100" w:after="283"/>
        <w:jc w:val="center"/>
        <w:rPr>
          <w:rFonts w:ascii="Times New Roman;serif" w:hAnsi="Times New Roman;serif"/>
          <w:b/>
          <w:color w:val="000000"/>
          <w:sz w:val="20"/>
        </w:rPr>
      </w:pPr>
      <w:r>
        <w:rPr>
          <w:rFonts w:ascii="Times New Roman;serif" w:hAnsi="Times New Roman;serif"/>
          <w:b/>
          <w:color w:val="000000"/>
          <w:sz w:val="20"/>
        </w:rPr>
        <w:t xml:space="preserve">For the quarterly period ended September 30, 2025 </w:t>
      </w:r>
    </w:p>
    <w:p>
      <w:pPr>
        <w:pStyle w:val="TextBody"/>
        <w:bidi w:val="0"/>
        <w:spacing w:lineRule="auto" w:line="288" w:before="100" w:after="283"/>
        <w:jc w:val="center"/>
        <w:rPr>
          <w:rFonts w:ascii="Times New Roman;serif" w:hAnsi="Times New Roman;serif"/>
          <w:b/>
          <w:color w:val="000000"/>
          <w:sz w:val="20"/>
        </w:rPr>
      </w:pPr>
      <w:r>
        <w:rPr>
          <w:rFonts w:ascii="Times New Roman;serif" w:hAnsi="Times New Roman;serif"/>
          <w:b/>
          <w:color w:val="000000"/>
          <w:sz w:val="20"/>
        </w:rPr>
        <w:t>or</w:t>
      </w:r>
    </w:p>
    <w:p>
      <w:pPr>
        <w:pStyle w:val="TextBody"/>
        <w:bidi w:val="0"/>
        <w:spacing w:lineRule="auto" w:line="288" w:before="100" w:after="283"/>
        <w:jc w:val="center"/>
        <w:rPr/>
      </w:pPr>
      <w:r>
        <w:rPr>
          <w:color w:val="000000"/>
        </w:rPr>
        <w:t xml:space="preserve">    ☐ </w:t>
      </w:r>
      <w:r>
        <w:rPr>
          <w:rFonts w:ascii="Times New Roman;serif" w:hAnsi="Times New Roman;serif"/>
          <w:b/>
          <w:color w:val="000000"/>
          <w:sz w:val="20"/>
        </w:rPr>
        <w:t>TRANSITION REPORT PURSUANT TO SECTION 13 OR 15(d) OF THE SECURITIES EXCHANGE ACT OF 1934</w:t>
      </w:r>
    </w:p>
    <w:p>
      <w:pPr>
        <w:pStyle w:val="TextBody"/>
        <w:bidi w:val="0"/>
        <w:spacing w:lineRule="auto" w:line="288" w:before="100" w:after="283"/>
        <w:jc w:val="center"/>
        <w:rPr>
          <w:rFonts w:ascii="Times New Roman;serif" w:hAnsi="Times New Roman;serif"/>
          <w:b/>
          <w:color w:val="000000"/>
          <w:sz w:val="20"/>
        </w:rPr>
      </w:pPr>
      <w:r>
        <w:rPr>
          <w:rFonts w:ascii="Times New Roman;serif" w:hAnsi="Times New Roman;serif"/>
          <w:b/>
          <w:color w:val="000000"/>
          <w:sz w:val="20"/>
        </w:rPr>
        <w:t>For the transition period from             to            </w:t>
      </w:r>
    </w:p>
    <w:p>
      <w:pPr>
        <w:pStyle w:val="TextBody"/>
        <w:bidi w:val="0"/>
        <w:spacing w:lineRule="auto" w:line="288" w:before="100" w:after="283"/>
        <w:jc w:val="center"/>
        <w:rPr>
          <w:rFonts w:ascii="Times New Roman;serif" w:hAnsi="Times New Roman;serif"/>
          <w:b/>
          <w:color w:val="000000"/>
          <w:sz w:val="20"/>
        </w:rPr>
      </w:pPr>
      <w:r>
        <w:rPr>
          <w:rFonts w:ascii="Times New Roman;serif" w:hAnsi="Times New Roman;serif"/>
          <w:b/>
          <w:color w:val="000000"/>
          <w:sz w:val="20"/>
        </w:rPr>
        <w:t xml:space="preserve">Commission File Number: 001-35987 </w:t>
      </w:r>
    </w:p>
    <w:p>
      <w:pPr>
        <w:pStyle w:val="TextBody"/>
        <w:bidi w:val="0"/>
        <w:spacing w:lineRule="auto" w:line="288" w:before="0" w:after="0"/>
        <w:jc w:val="center"/>
        <w:rPr>
          <w:rFonts w:ascii="Times New Roman;serif" w:hAnsi="Times New Roman;serif"/>
          <w:b w:val="false"/>
          <w:color w:val="000000"/>
          <w:sz w:val="16"/>
        </w:rPr>
      </w:pPr>
      <w:r>
        <w:rPr>
          <w:rFonts w:ascii="Times New Roman;serif" w:hAnsi="Times New Roman;serif"/>
          <w:b w:val="false"/>
          <w:color w:val="000000"/>
          <w:sz w:val="16"/>
        </w:rPr>
        <w:t>___________________________________________________________</w:t>
      </w:r>
    </w:p>
    <w:p>
      <w:pPr>
        <w:pStyle w:val="TextBody"/>
        <w:bidi w:val="0"/>
        <w:spacing w:lineRule="auto" w:line="288" w:before="160" w:after="283"/>
        <w:jc w:val="center"/>
        <w:rPr>
          <w:rFonts w:ascii="Times New Roman;serif" w:hAnsi="Times New Roman;serif"/>
          <w:b/>
          <w:color w:val="000000"/>
          <w:sz w:val="32"/>
        </w:rPr>
      </w:pPr>
      <w:r>
        <w:rPr>
          <w:rFonts w:ascii="Times New Roman;serif" w:hAnsi="Times New Roman;serif"/>
          <w:b/>
          <w:color w:val="000000"/>
          <w:sz w:val="32"/>
        </w:rPr>
        <w:t xml:space="preserve">NOODLES &amp; COMPANY </w:t>
      </w:r>
    </w:p>
    <w:p>
      <w:pPr>
        <w:pStyle w:val="TextBody"/>
        <w:bidi w:val="0"/>
        <w:spacing w:lineRule="auto" w:line="288" w:before="0" w:after="160"/>
        <w:jc w:val="center"/>
        <w:rPr>
          <w:rFonts w:ascii="Times New Roman;serif" w:hAnsi="Times New Roman;serif"/>
          <w:b w:val="false"/>
          <w:color w:val="000000"/>
          <w:sz w:val="16"/>
        </w:rPr>
      </w:pPr>
      <w:r>
        <w:rPr>
          <w:rFonts w:ascii="Times New Roman;serif" w:hAnsi="Times New Roman;serif"/>
          <w:b w:val="false"/>
          <w:color w:val="000000"/>
          <w:sz w:val="16"/>
        </w:rPr>
        <w:t>(Exact name of registrant as specified in its charter)</w:t>
      </w:r>
    </w:p>
    <w:p>
      <w:pPr>
        <w:pStyle w:val="TextBody"/>
        <w:bidi w:val="0"/>
        <w:spacing w:lineRule="auto" w:line="288" w:before="0" w:after="0"/>
        <w:jc w:val="center"/>
        <w:rPr>
          <w:rFonts w:ascii="Times New Roman;serif" w:hAnsi="Times New Roman;serif"/>
          <w:b w:val="false"/>
          <w:color w:val="000000"/>
          <w:sz w:val="16"/>
        </w:rPr>
      </w:pPr>
      <w:r>
        <w:rPr>
          <w:rFonts w:ascii="Times New Roman;serif" w:hAnsi="Times New Roman;serif"/>
          <w:b w:val="false"/>
          <w:color w:val="000000"/>
          <w:sz w:val="16"/>
        </w:rPr>
        <w:t>_____________________________________________________________</w:t>
      </w:r>
    </w:p>
    <w:tbl>
      <w:tblPr>
        <w:tblW w:w="8321" w:type="dxa"/>
        <w:jc w:val="center"/>
        <w:tblInd w:w="0" w:type="dxa"/>
        <w:tblLayout w:type="fixed"/>
        <w:tblCellMar>
          <w:top w:w="28" w:type="dxa"/>
          <w:left w:w="28" w:type="dxa"/>
          <w:bottom w:w="28" w:type="dxa"/>
          <w:right w:w="28" w:type="dxa"/>
        </w:tblCellMar>
      </w:tblPr>
      <w:tblGrid>
        <w:gridCol w:w="1795"/>
        <w:gridCol w:w="1577"/>
        <w:gridCol w:w="1593"/>
        <w:gridCol w:w="109"/>
        <w:gridCol w:w="109"/>
        <w:gridCol w:w="109"/>
        <w:gridCol w:w="884"/>
        <w:gridCol w:w="884"/>
        <w:gridCol w:w="1261"/>
      </w:tblGrid>
      <w:tr>
        <w:trPr/>
        <w:tc>
          <w:tcPr>
            <w:tcW w:w="1795" w:type="dxa"/>
            <w:tcBorders/>
            <w:vAlign w:val="center"/>
          </w:tcPr>
          <w:p>
            <w:pPr>
              <w:pStyle w:val="TableContents"/>
              <w:bidi w:val="0"/>
              <w:spacing w:before="0" w:after="283"/>
              <w:jc w:val="left"/>
              <w:rPr>
                <w:sz w:val="4"/>
                <w:szCs w:val="4"/>
              </w:rPr>
            </w:pPr>
            <w:r>
              <w:rPr>
                <w:sz w:val="4"/>
                <w:szCs w:val="4"/>
              </w:rPr>
            </w:r>
          </w:p>
        </w:tc>
        <w:tc>
          <w:tcPr>
            <w:tcW w:w="1577" w:type="dxa"/>
            <w:tcBorders/>
            <w:vAlign w:val="center"/>
          </w:tcPr>
          <w:p>
            <w:pPr>
              <w:pStyle w:val="TableContents"/>
              <w:bidi w:val="0"/>
              <w:spacing w:before="0" w:after="283"/>
              <w:jc w:val="left"/>
              <w:rPr>
                <w:sz w:val="4"/>
                <w:szCs w:val="4"/>
              </w:rPr>
            </w:pPr>
            <w:r>
              <w:rPr>
                <w:sz w:val="4"/>
                <w:szCs w:val="4"/>
              </w:rPr>
            </w:r>
          </w:p>
        </w:tc>
        <w:tc>
          <w:tcPr>
            <w:tcW w:w="159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84" w:type="dxa"/>
            <w:tcBorders/>
            <w:vAlign w:val="center"/>
          </w:tcPr>
          <w:p>
            <w:pPr>
              <w:pStyle w:val="TableContents"/>
              <w:bidi w:val="0"/>
              <w:spacing w:before="0" w:after="283"/>
              <w:jc w:val="left"/>
              <w:rPr>
                <w:sz w:val="4"/>
                <w:szCs w:val="4"/>
              </w:rPr>
            </w:pPr>
            <w:r>
              <w:rPr>
                <w:sz w:val="4"/>
                <w:szCs w:val="4"/>
              </w:rPr>
            </w:r>
          </w:p>
        </w:tc>
        <w:tc>
          <w:tcPr>
            <w:tcW w:w="884" w:type="dxa"/>
            <w:tcBorders/>
            <w:vAlign w:val="center"/>
          </w:tcPr>
          <w:p>
            <w:pPr>
              <w:pStyle w:val="TableContents"/>
              <w:bidi w:val="0"/>
              <w:spacing w:before="0" w:after="283"/>
              <w:jc w:val="left"/>
              <w:rPr>
                <w:sz w:val="4"/>
                <w:szCs w:val="4"/>
              </w:rPr>
            </w:pPr>
            <w:r>
              <w:rPr>
                <w:sz w:val="4"/>
                <w:szCs w:val="4"/>
              </w:rPr>
            </w:r>
          </w:p>
        </w:tc>
        <w:tc>
          <w:tcPr>
            <w:tcW w:w="1261" w:type="dxa"/>
            <w:tcBorders/>
            <w:vAlign w:val="center"/>
          </w:tcPr>
          <w:p>
            <w:pPr>
              <w:pStyle w:val="TableContents"/>
              <w:bidi w:val="0"/>
              <w:spacing w:before="0" w:after="283"/>
              <w:jc w:val="left"/>
              <w:rPr>
                <w:sz w:val="4"/>
                <w:szCs w:val="4"/>
              </w:rPr>
            </w:pPr>
            <w:r>
              <w:rPr>
                <w:sz w:val="4"/>
                <w:szCs w:val="4"/>
              </w:rPr>
            </w:r>
          </w:p>
        </w:tc>
      </w:tr>
      <w:tr>
        <w:trPr/>
        <w:tc>
          <w:tcPr>
            <w:tcW w:w="496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Delaware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2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84-1303469</w:t>
            </w:r>
          </w:p>
        </w:tc>
      </w:tr>
      <w:tr>
        <w:trPr/>
        <w:tc>
          <w:tcPr>
            <w:tcW w:w="496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(State or other jurisdiction of incorporation or organization)</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02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(I.R.S. Employer Identification No.)</w:t>
            </w:r>
          </w:p>
        </w:tc>
      </w:tr>
    </w:tbl>
    <w:tbl>
      <w:tblPr>
        <w:tblW w:w="4662" w:type="dxa"/>
        <w:jc w:val="center"/>
        <w:tblInd w:w="0" w:type="dxa"/>
        <w:tblLayout w:type="fixed"/>
        <w:tblCellMar>
          <w:top w:w="28" w:type="dxa"/>
          <w:left w:w="28" w:type="dxa"/>
          <w:bottom w:w="28" w:type="dxa"/>
          <w:right w:w="28" w:type="dxa"/>
        </w:tblCellMar>
      </w:tblPr>
      <w:tblGrid>
        <w:gridCol w:w="1193"/>
        <w:gridCol w:w="1048"/>
        <w:gridCol w:w="1059"/>
        <w:gridCol w:w="109"/>
        <w:gridCol w:w="109"/>
        <w:gridCol w:w="109"/>
        <w:gridCol w:w="303"/>
        <w:gridCol w:w="303"/>
        <w:gridCol w:w="429"/>
      </w:tblGrid>
      <w:tr>
        <w:trPr/>
        <w:tc>
          <w:tcPr>
            <w:tcW w:w="1193" w:type="dxa"/>
            <w:tcBorders/>
            <w:vAlign w:val="center"/>
          </w:tcPr>
          <w:p>
            <w:pPr>
              <w:pStyle w:val="TableContents"/>
              <w:bidi w:val="0"/>
              <w:spacing w:before="0" w:after="283"/>
              <w:jc w:val="left"/>
              <w:rPr>
                <w:sz w:val="4"/>
                <w:szCs w:val="4"/>
              </w:rPr>
            </w:pPr>
            <w:r>
              <w:rPr>
                <w:sz w:val="4"/>
                <w:szCs w:val="4"/>
              </w:rPr>
            </w:r>
          </w:p>
        </w:tc>
        <w:tc>
          <w:tcPr>
            <w:tcW w:w="1048" w:type="dxa"/>
            <w:tcBorders/>
            <w:vAlign w:val="center"/>
          </w:tcPr>
          <w:p>
            <w:pPr>
              <w:pStyle w:val="TableContents"/>
              <w:bidi w:val="0"/>
              <w:spacing w:before="0" w:after="283"/>
              <w:jc w:val="left"/>
              <w:rPr>
                <w:sz w:val="4"/>
                <w:szCs w:val="4"/>
              </w:rPr>
            </w:pPr>
            <w:r>
              <w:rPr>
                <w:sz w:val="4"/>
                <w:szCs w:val="4"/>
              </w:rPr>
            </w:r>
          </w:p>
        </w:tc>
        <w:tc>
          <w:tcPr>
            <w:tcW w:w="105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3" w:type="dxa"/>
            <w:tcBorders/>
            <w:vAlign w:val="center"/>
          </w:tcPr>
          <w:p>
            <w:pPr>
              <w:pStyle w:val="TableContents"/>
              <w:bidi w:val="0"/>
              <w:spacing w:before="0" w:after="283"/>
              <w:jc w:val="left"/>
              <w:rPr>
                <w:sz w:val="4"/>
                <w:szCs w:val="4"/>
              </w:rPr>
            </w:pPr>
            <w:r>
              <w:rPr>
                <w:sz w:val="4"/>
                <w:szCs w:val="4"/>
              </w:rPr>
            </w:r>
          </w:p>
        </w:tc>
        <w:tc>
          <w:tcPr>
            <w:tcW w:w="303" w:type="dxa"/>
            <w:tcBorders/>
            <w:vAlign w:val="center"/>
          </w:tcPr>
          <w:p>
            <w:pPr>
              <w:pStyle w:val="TableContents"/>
              <w:bidi w:val="0"/>
              <w:spacing w:before="0" w:after="283"/>
              <w:jc w:val="left"/>
              <w:rPr>
                <w:sz w:val="4"/>
                <w:szCs w:val="4"/>
              </w:rPr>
            </w:pPr>
            <w:r>
              <w:rPr>
                <w:sz w:val="4"/>
                <w:szCs w:val="4"/>
              </w:rPr>
            </w:r>
          </w:p>
        </w:tc>
        <w:tc>
          <w:tcPr>
            <w:tcW w:w="429" w:type="dxa"/>
            <w:tcBorders/>
            <w:vAlign w:val="center"/>
          </w:tcPr>
          <w:p>
            <w:pPr>
              <w:pStyle w:val="TableContents"/>
              <w:bidi w:val="0"/>
              <w:spacing w:before="0" w:after="283"/>
              <w:jc w:val="left"/>
              <w:rPr>
                <w:sz w:val="4"/>
                <w:szCs w:val="4"/>
              </w:rPr>
            </w:pPr>
            <w:r>
              <w:rPr>
                <w:sz w:val="4"/>
                <w:szCs w:val="4"/>
              </w:rPr>
            </w:r>
          </w:p>
        </w:tc>
      </w:tr>
      <w:tr>
        <w:trPr/>
        <w:tc>
          <w:tcPr>
            <w:tcW w:w="330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520 Zang Street, Suite 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5"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p>
        </w:tc>
      </w:tr>
      <w:tr>
        <w:trPr/>
        <w:tc>
          <w:tcPr>
            <w:tcW w:w="3300"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20"/>
              </w:rPr>
            </w:pPr>
            <w:r>
              <w:rPr>
                <w:rFonts w:ascii="Times New Roman;serif" w:hAnsi="Times New Roman;serif"/>
                <w:b/>
                <w:color w:val="000000"/>
                <w:sz w:val="20"/>
              </w:rPr>
              <w:t>Broomfield, CO</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80021</w:t>
            </w:r>
          </w:p>
        </w:tc>
      </w:tr>
      <w:tr>
        <w:trPr/>
        <w:tc>
          <w:tcPr>
            <w:tcW w:w="330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(Address of principal executive offices)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(Zip Code)</w:t>
            </w:r>
          </w:p>
        </w:tc>
      </w:tr>
    </w:tbl>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(720) 214-1900</w:t>
      </w:r>
    </w:p>
    <w:p>
      <w:pPr>
        <w:pStyle w:val="TextBody"/>
        <w:bidi w:val="0"/>
        <w:spacing w:lineRule="auto" w:line="288" w:before="0" w:after="0"/>
        <w:jc w:val="center"/>
        <w:rPr>
          <w:rFonts w:ascii="Times New Roman;serif" w:hAnsi="Times New Roman;serif"/>
          <w:b w:val="false"/>
          <w:color w:val="000000"/>
          <w:sz w:val="16"/>
        </w:rPr>
      </w:pPr>
      <w:r>
        <w:rPr>
          <w:rFonts w:ascii="Times New Roman;serif" w:hAnsi="Times New Roman;serif"/>
          <w:b w:val="false"/>
          <w:color w:val="000000"/>
          <w:sz w:val="16"/>
        </w:rPr>
        <w:t>(Registrant’s telephone number, including area code)</w:t>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16"/>
        </w:rPr>
      </w:pPr>
      <w:r>
        <w:rPr>
          <w:rFonts w:ascii="Times New Roman;serif" w:hAnsi="Times New Roman;serif"/>
          <w:b w:val="false"/>
          <w:color w:val="000000"/>
          <w:sz w:val="16"/>
        </w:rPr>
        <w:t>Securities registered pursuant to Section 12(b) of the Act</w:t>
      </w:r>
    </w:p>
    <w:tbl>
      <w:tblPr>
        <w:tblW w:w="8234" w:type="dxa"/>
        <w:jc w:val="center"/>
        <w:tblInd w:w="0" w:type="dxa"/>
        <w:tblLayout w:type="fixed"/>
        <w:tblCellMar>
          <w:top w:w="28" w:type="dxa"/>
          <w:left w:w="28" w:type="dxa"/>
          <w:bottom w:w="28" w:type="dxa"/>
          <w:right w:w="28" w:type="dxa"/>
        </w:tblCellMar>
      </w:tblPr>
      <w:tblGrid>
        <w:gridCol w:w="1365"/>
        <w:gridCol w:w="1192"/>
        <w:gridCol w:w="1208"/>
        <w:gridCol w:w="414"/>
        <w:gridCol w:w="414"/>
        <w:gridCol w:w="416"/>
        <w:gridCol w:w="945"/>
        <w:gridCol w:w="945"/>
        <w:gridCol w:w="1335"/>
      </w:tblGrid>
      <w:tr>
        <w:trPr/>
        <w:tc>
          <w:tcPr>
            <w:tcW w:w="1365" w:type="dxa"/>
            <w:tcBorders/>
            <w:vAlign w:val="center"/>
          </w:tcPr>
          <w:p>
            <w:pPr>
              <w:pStyle w:val="TableContents"/>
              <w:bidi w:val="0"/>
              <w:spacing w:before="0" w:after="283"/>
              <w:jc w:val="left"/>
              <w:rPr>
                <w:sz w:val="4"/>
                <w:szCs w:val="4"/>
              </w:rPr>
            </w:pPr>
            <w:r>
              <w:rPr>
                <w:sz w:val="4"/>
                <w:szCs w:val="4"/>
              </w:rPr>
            </w:r>
          </w:p>
        </w:tc>
        <w:tc>
          <w:tcPr>
            <w:tcW w:w="1192" w:type="dxa"/>
            <w:tcBorders/>
            <w:vAlign w:val="center"/>
          </w:tcPr>
          <w:p>
            <w:pPr>
              <w:pStyle w:val="TableContents"/>
              <w:bidi w:val="0"/>
              <w:spacing w:before="0" w:after="283"/>
              <w:jc w:val="left"/>
              <w:rPr>
                <w:sz w:val="4"/>
                <w:szCs w:val="4"/>
              </w:rPr>
            </w:pPr>
            <w:r>
              <w:rPr>
                <w:sz w:val="4"/>
                <w:szCs w:val="4"/>
              </w:rPr>
            </w:r>
          </w:p>
        </w:tc>
        <w:tc>
          <w:tcPr>
            <w:tcW w:w="1208" w:type="dxa"/>
            <w:tcBorders/>
            <w:vAlign w:val="center"/>
          </w:tcPr>
          <w:p>
            <w:pPr>
              <w:pStyle w:val="TableContents"/>
              <w:bidi w:val="0"/>
              <w:spacing w:before="0" w:after="283"/>
              <w:jc w:val="left"/>
              <w:rPr>
                <w:sz w:val="4"/>
                <w:szCs w:val="4"/>
              </w:rPr>
            </w:pPr>
            <w:r>
              <w:rPr>
                <w:sz w:val="4"/>
                <w:szCs w:val="4"/>
              </w:rPr>
            </w:r>
          </w:p>
        </w:tc>
        <w:tc>
          <w:tcPr>
            <w:tcW w:w="414" w:type="dxa"/>
            <w:tcBorders/>
            <w:vAlign w:val="center"/>
          </w:tcPr>
          <w:p>
            <w:pPr>
              <w:pStyle w:val="TableContents"/>
              <w:bidi w:val="0"/>
              <w:spacing w:before="0" w:after="283"/>
              <w:jc w:val="left"/>
              <w:rPr>
                <w:sz w:val="4"/>
                <w:szCs w:val="4"/>
              </w:rPr>
            </w:pPr>
            <w:r>
              <w:rPr>
                <w:sz w:val="4"/>
                <w:szCs w:val="4"/>
              </w:rPr>
            </w:r>
          </w:p>
        </w:tc>
        <w:tc>
          <w:tcPr>
            <w:tcW w:w="414" w:type="dxa"/>
            <w:tcBorders/>
            <w:vAlign w:val="center"/>
          </w:tcPr>
          <w:p>
            <w:pPr>
              <w:pStyle w:val="TableContents"/>
              <w:bidi w:val="0"/>
              <w:spacing w:before="0" w:after="283"/>
              <w:jc w:val="left"/>
              <w:rPr>
                <w:sz w:val="4"/>
                <w:szCs w:val="4"/>
              </w:rPr>
            </w:pPr>
            <w:r>
              <w:rPr>
                <w:sz w:val="4"/>
                <w:szCs w:val="4"/>
              </w:rPr>
            </w:r>
          </w:p>
        </w:tc>
        <w:tc>
          <w:tcPr>
            <w:tcW w:w="416" w:type="dxa"/>
            <w:tcBorders/>
            <w:vAlign w:val="center"/>
          </w:tcPr>
          <w:p>
            <w:pPr>
              <w:pStyle w:val="TableContents"/>
              <w:bidi w:val="0"/>
              <w:spacing w:before="0" w:after="283"/>
              <w:jc w:val="left"/>
              <w:rPr>
                <w:sz w:val="4"/>
                <w:szCs w:val="4"/>
              </w:rPr>
            </w:pPr>
            <w:r>
              <w:rPr>
                <w:sz w:val="4"/>
                <w:szCs w:val="4"/>
              </w:rPr>
            </w:r>
          </w:p>
        </w:tc>
        <w:tc>
          <w:tcPr>
            <w:tcW w:w="945" w:type="dxa"/>
            <w:tcBorders/>
            <w:vAlign w:val="center"/>
          </w:tcPr>
          <w:p>
            <w:pPr>
              <w:pStyle w:val="TableContents"/>
              <w:bidi w:val="0"/>
              <w:spacing w:before="0" w:after="283"/>
              <w:jc w:val="left"/>
              <w:rPr>
                <w:sz w:val="4"/>
                <w:szCs w:val="4"/>
              </w:rPr>
            </w:pPr>
            <w:r>
              <w:rPr>
                <w:sz w:val="4"/>
                <w:szCs w:val="4"/>
              </w:rPr>
            </w:r>
          </w:p>
        </w:tc>
        <w:tc>
          <w:tcPr>
            <w:tcW w:w="945" w:type="dxa"/>
            <w:tcBorders/>
            <w:vAlign w:val="center"/>
          </w:tcPr>
          <w:p>
            <w:pPr>
              <w:pStyle w:val="TableContents"/>
              <w:bidi w:val="0"/>
              <w:spacing w:before="0" w:after="283"/>
              <w:jc w:val="left"/>
              <w:rPr>
                <w:sz w:val="4"/>
                <w:szCs w:val="4"/>
              </w:rPr>
            </w:pPr>
            <w:r>
              <w:rPr>
                <w:sz w:val="4"/>
                <w:szCs w:val="4"/>
              </w:rPr>
            </w:r>
          </w:p>
        </w:tc>
        <w:tc>
          <w:tcPr>
            <w:tcW w:w="1335" w:type="dxa"/>
            <w:tcBorders/>
            <w:vAlign w:val="center"/>
          </w:tcPr>
          <w:p>
            <w:pPr>
              <w:pStyle w:val="TableContents"/>
              <w:bidi w:val="0"/>
              <w:spacing w:before="0" w:after="283"/>
              <w:jc w:val="left"/>
              <w:rPr>
                <w:sz w:val="4"/>
                <w:szCs w:val="4"/>
              </w:rPr>
            </w:pPr>
            <w:r>
              <w:rPr>
                <w:sz w:val="4"/>
                <w:szCs w:val="4"/>
              </w:rPr>
            </w:r>
          </w:p>
        </w:tc>
      </w:tr>
      <w:tr>
        <w:trPr/>
        <w:tc>
          <w:tcPr>
            <w:tcW w:w="3765"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Title of each class</w:t>
            </w:r>
          </w:p>
        </w:tc>
        <w:tc>
          <w:tcPr>
            <w:tcW w:w="1244"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Trading Symbol</w:t>
            </w:r>
          </w:p>
        </w:tc>
        <w:tc>
          <w:tcPr>
            <w:tcW w:w="3225"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Name of each exchange on which registered</w:t>
            </w:r>
          </w:p>
        </w:tc>
      </w:tr>
      <w:tr>
        <w:trPr/>
        <w:tc>
          <w:tcPr>
            <w:tcW w:w="3765" w:type="dxa"/>
            <w:gridSpan w:val="3"/>
            <w:tcBorders>
              <w:top w:val="single" w:sz="8" w:space="0" w:color="000000"/>
              <w:left w:val="single" w:sz="8" w:space="0" w:color="000000"/>
              <w:bottom w:val="single" w:sz="8" w:space="0" w:color="000000"/>
            </w:tcBorders>
            <w:tcMar>
              <w:top w:w="3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Class A Common Stock, $0.01 par value per share</w:t>
            </w:r>
          </w:p>
        </w:tc>
        <w:tc>
          <w:tcPr>
            <w:tcW w:w="1244" w:type="dxa"/>
            <w:gridSpan w:val="3"/>
            <w:tcBorders>
              <w:top w:val="single" w:sz="8" w:space="0" w:color="000000"/>
              <w:left w:val="single" w:sz="8" w:space="0" w:color="000000"/>
              <w:bottom w:val="single" w:sz="8" w:space="0" w:color="000000"/>
            </w:tcBorders>
            <w:tcMar>
              <w:top w:w="3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NDLS</w:t>
            </w:r>
          </w:p>
        </w:tc>
        <w:tc>
          <w:tcPr>
            <w:tcW w:w="3225" w:type="dxa"/>
            <w:gridSpan w:val="3"/>
            <w:tcBorders>
              <w:top w:val="single" w:sz="8" w:space="0" w:color="000000"/>
              <w:left w:val="single" w:sz="8" w:space="0" w:color="000000"/>
              <w:bottom w:val="single" w:sz="8" w:space="0" w:color="000000"/>
              <w:right w:val="single" w:sz="8" w:space="0" w:color="000000"/>
            </w:tcBorders>
            <w:tcMar>
              <w:top w:w="30" w:type="dxa"/>
              <w:bottom w:w="3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Nasdaq Global Select Market</w:t>
            </w:r>
          </w:p>
        </w:tc>
      </w:tr>
    </w:tbl>
    <w:p>
      <w:pPr>
        <w:pStyle w:val="TextBody"/>
        <w:bidi w:val="0"/>
        <w:spacing w:lineRule="auto" w:line="288" w:before="0" w:after="0"/>
        <w:jc w:val="center"/>
        <w:rPr>
          <w:color w:val="000000"/>
        </w:rPr>
      </w:pPr>
      <w:r>
        <w:rPr>
          <w:color w:val="000000"/>
        </w:rPr>
        <w:t> </w:t>
      </w:r>
    </w:p>
    <w:p>
      <w:pPr>
        <w:pStyle w:val="TextBody"/>
        <w:bidi w:val="0"/>
        <w:spacing w:before="0" w:after="0"/>
        <w:ind w:left="0" w:right="0" w:firstLine="270"/>
        <w:jc w:val="left"/>
        <w:rPr/>
      </w:pPr>
      <w:r>
        <w:rPr/>
      </w:r>
    </w:p>
    <w:p>
      <w:pPr>
        <w:pStyle w:val="TextBody"/>
        <w:bidi w:val="0"/>
        <w:spacing w:lineRule="auto" w:line="288" w:before="0" w:after="0"/>
        <w:ind w:left="0" w:right="0" w:firstLine="270"/>
        <w:jc w:val="left"/>
        <w:rPr/>
      </w:pPr>
      <w:r>
        <w:rPr>
          <w:rFonts w:ascii="Times New Roman;serif" w:hAnsi="Times New Roman;serif"/>
          <w:b w:val="false"/>
          <w:color w:val="000000"/>
          <w:sz w:val="16"/>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color w:val="000000"/>
        </w:rPr>
        <w:t xml:space="preserve"> ☒ </w:t>
      </w:r>
      <w:r>
        <w:rPr>
          <w:rFonts w:ascii="Times New Roman;serif" w:hAnsi="Times New Roman;serif"/>
          <w:b w:val="false"/>
          <w:color w:val="000000"/>
          <w:sz w:val="16"/>
        </w:rPr>
        <w:t>No </w:t>
      </w:r>
      <w:r>
        <w:rPr>
          <w:color w:val="000000"/>
        </w:rPr>
        <w:t xml:space="preserve">☐ </w:t>
      </w:r>
    </w:p>
    <w:p>
      <w:pPr>
        <w:pStyle w:val="TextBody"/>
        <w:bidi w:val="0"/>
        <w:spacing w:lineRule="auto" w:line="288" w:before="0" w:after="0"/>
        <w:ind w:left="0" w:right="0" w:firstLine="270"/>
        <w:jc w:val="left"/>
        <w:rPr>
          <w:color w:val="000000"/>
        </w:rPr>
      </w:pPr>
      <w:r>
        <w:rPr>
          <w:color w:val="000000"/>
        </w:rPr>
        <w:t> </w:t>
      </w:r>
    </w:p>
    <w:p>
      <w:pPr>
        <w:pStyle w:val="TextBody"/>
        <w:bidi w:val="0"/>
        <w:spacing w:lineRule="auto" w:line="288" w:before="0" w:after="0"/>
        <w:ind w:left="0" w:right="0" w:firstLine="270"/>
        <w:jc w:val="left"/>
        <w:rPr>
          <w:rFonts w:ascii="Times New Roman;serif" w:hAnsi="Times New Roman;serif"/>
          <w:b w:val="false"/>
          <w:color w:val="000000"/>
          <w:sz w:val="16"/>
        </w:rPr>
      </w:pPr>
      <w:r>
        <w:rPr>
          <w:rFonts w:ascii="Times New Roman;serif" w:hAnsi="Times New Roman;serif"/>
          <w:b w:val="false"/>
          <w:color w:val="000000"/>
          <w:sz w:val="16"/>
        </w:rPr>
        <w:t>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w:t>
      </w:r>
    </w:p>
    <w:p>
      <w:pPr>
        <w:pStyle w:val="TextBody"/>
        <w:bidi w:val="0"/>
        <w:spacing w:lineRule="auto" w:line="288" w:before="0" w:after="0"/>
        <w:ind w:left="0" w:right="0" w:firstLine="270"/>
        <w:jc w:val="left"/>
        <w:rPr/>
      </w:pPr>
      <w:r>
        <w:rPr>
          <w:rFonts w:ascii="Times New Roman;serif" w:hAnsi="Times New Roman;serif"/>
          <w:b w:val="false"/>
          <w:color w:val="000000"/>
          <w:sz w:val="16"/>
        </w:rPr>
        <w:t>Yes </w:t>
      </w:r>
      <w:r>
        <w:rPr>
          <w:color w:val="000000"/>
        </w:rPr>
        <w:t xml:space="preserve"> ☒ </w:t>
      </w:r>
      <w:r>
        <w:rPr>
          <w:rFonts w:ascii="Times New Roman;serif" w:hAnsi="Times New Roman;serif"/>
          <w:b w:val="false"/>
          <w:color w:val="000000"/>
          <w:sz w:val="16"/>
        </w:rPr>
        <w:t>No </w:t>
      </w:r>
      <w:r>
        <w:rPr>
          <w:color w:val="000000"/>
        </w:rPr>
        <w:t>☐</w:t>
      </w:r>
    </w:p>
    <w:p>
      <w:pPr>
        <w:pStyle w:val="TextBody"/>
        <w:bidi w:val="0"/>
        <w:spacing w:before="0" w:after="0"/>
        <w:ind w:left="0" w:right="0" w:firstLine="270"/>
        <w:jc w:val="left"/>
        <w:rPr/>
      </w:pPr>
      <w:r>
        <w:rPr/>
      </w:r>
    </w:p>
    <w:p>
      <w:pPr>
        <w:pStyle w:val="TextBody"/>
        <w:bidi w:val="0"/>
        <w:spacing w:lineRule="auto" w:line="288" w:before="0" w:after="0"/>
        <w:ind w:left="0" w:right="0" w:firstLine="270"/>
        <w:jc w:val="left"/>
        <w:rPr>
          <w:rFonts w:ascii="Times New Roman;serif" w:hAnsi="Times New Roman;serif"/>
          <w:b w:val="false"/>
          <w:color w:val="000000"/>
          <w:sz w:val="16"/>
        </w:rPr>
      </w:pPr>
      <w:r>
        <w:rPr>
          <w:rFonts w:ascii="Times New Roman;serif" w:hAnsi="Times New Roman;serif"/>
          <w:b w:val="false"/>
          <w:color w:val="000000"/>
          <w:sz w:val="16"/>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tbl>
      <w:tblPr>
        <w:tblW w:w="4716" w:type="dxa"/>
        <w:jc w:val="center"/>
        <w:tblInd w:w="0" w:type="dxa"/>
        <w:tblLayout w:type="fixed"/>
        <w:tblCellMar>
          <w:top w:w="28" w:type="dxa"/>
          <w:left w:w="28" w:type="dxa"/>
          <w:bottom w:w="28" w:type="dxa"/>
          <w:right w:w="28" w:type="dxa"/>
        </w:tblCellMar>
      </w:tblPr>
      <w:tblGrid>
        <w:gridCol w:w="603"/>
        <w:gridCol w:w="530"/>
        <w:gridCol w:w="532"/>
        <w:gridCol w:w="109"/>
        <w:gridCol w:w="109"/>
        <w:gridCol w:w="109"/>
        <w:gridCol w:w="109"/>
        <w:gridCol w:w="109"/>
        <w:gridCol w:w="109"/>
        <w:gridCol w:w="674"/>
        <w:gridCol w:w="674"/>
        <w:gridCol w:w="677"/>
        <w:gridCol w:w="109"/>
        <w:gridCol w:w="109"/>
        <w:gridCol w:w="154"/>
      </w:tblGrid>
      <w:tr>
        <w:trPr/>
        <w:tc>
          <w:tcPr>
            <w:tcW w:w="603" w:type="dxa"/>
            <w:tcBorders/>
            <w:vAlign w:val="center"/>
          </w:tcPr>
          <w:p>
            <w:pPr>
              <w:pStyle w:val="TableContents"/>
              <w:bidi w:val="0"/>
              <w:spacing w:before="0" w:after="283"/>
              <w:jc w:val="left"/>
              <w:rPr>
                <w:sz w:val="4"/>
                <w:szCs w:val="4"/>
              </w:rPr>
            </w:pPr>
            <w:r>
              <w:rPr>
                <w:sz w:val="4"/>
                <w:szCs w:val="4"/>
              </w:rPr>
            </w:r>
          </w:p>
        </w:tc>
        <w:tc>
          <w:tcPr>
            <w:tcW w:w="530" w:type="dxa"/>
            <w:tcBorders/>
            <w:vAlign w:val="center"/>
          </w:tcPr>
          <w:p>
            <w:pPr>
              <w:pStyle w:val="TableContents"/>
              <w:bidi w:val="0"/>
              <w:spacing w:before="0" w:after="283"/>
              <w:jc w:val="left"/>
              <w:rPr>
                <w:sz w:val="4"/>
                <w:szCs w:val="4"/>
              </w:rPr>
            </w:pPr>
            <w:r>
              <w:rPr>
                <w:sz w:val="4"/>
                <w:szCs w:val="4"/>
              </w:rPr>
            </w:r>
          </w:p>
        </w:tc>
        <w:tc>
          <w:tcPr>
            <w:tcW w:w="53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74" w:type="dxa"/>
            <w:tcBorders/>
            <w:vAlign w:val="center"/>
          </w:tcPr>
          <w:p>
            <w:pPr>
              <w:pStyle w:val="TableContents"/>
              <w:bidi w:val="0"/>
              <w:spacing w:before="0" w:after="283"/>
              <w:jc w:val="left"/>
              <w:rPr>
                <w:sz w:val="4"/>
                <w:szCs w:val="4"/>
              </w:rPr>
            </w:pPr>
            <w:r>
              <w:rPr>
                <w:sz w:val="4"/>
                <w:szCs w:val="4"/>
              </w:rPr>
            </w:r>
          </w:p>
        </w:tc>
        <w:tc>
          <w:tcPr>
            <w:tcW w:w="674" w:type="dxa"/>
            <w:tcBorders/>
            <w:vAlign w:val="center"/>
          </w:tcPr>
          <w:p>
            <w:pPr>
              <w:pStyle w:val="TableContents"/>
              <w:bidi w:val="0"/>
              <w:spacing w:before="0" w:after="283"/>
              <w:jc w:val="left"/>
              <w:rPr>
                <w:sz w:val="4"/>
                <w:szCs w:val="4"/>
              </w:rPr>
            </w:pPr>
            <w:r>
              <w:rPr>
                <w:sz w:val="4"/>
                <w:szCs w:val="4"/>
              </w:rPr>
            </w:r>
          </w:p>
        </w:tc>
        <w:tc>
          <w:tcPr>
            <w:tcW w:w="67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66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Large accelerated filer</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0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Accelerated filer</w:t>
            </w:r>
          </w:p>
        </w:tc>
        <w:tc>
          <w:tcPr>
            <w:tcW w:w="37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r>
      <w:tr>
        <w:trPr/>
        <w:tc>
          <w:tcPr>
            <w:tcW w:w="16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6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Non-accelerated filer </w:t>
            </w:r>
          </w:p>
        </w:tc>
        <w:tc>
          <w:tcPr>
            <w:tcW w:w="32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02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Smaller reporting company</w:t>
            </w:r>
          </w:p>
        </w:tc>
        <w:tc>
          <w:tcPr>
            <w:tcW w:w="37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r>
      <w:tr>
        <w:trPr/>
        <w:tc>
          <w:tcPr>
            <w:tcW w:w="16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02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Emerging growth company</w:t>
            </w:r>
          </w:p>
        </w:tc>
        <w:tc>
          <w:tcPr>
            <w:tcW w:w="37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r>
    </w:tbl>
    <w:p>
      <w:pPr>
        <w:pStyle w:val="TextBody"/>
        <w:bidi w:val="0"/>
        <w:spacing w:lineRule="auto" w:line="288" w:before="0" w:after="0"/>
        <w:jc w:val="left"/>
        <w:rPr>
          <w:color w:val="000000"/>
        </w:rPr>
      </w:pPr>
      <w:r>
        <w:rPr>
          <w:color w:val="000000"/>
        </w:rPr>
        <w:t> </w:t>
      </w:r>
    </w:p>
    <w:p>
      <w:pPr>
        <w:pStyle w:val="TextBody"/>
        <w:bidi w:val="0"/>
        <w:spacing w:lineRule="auto" w:line="288" w:before="0" w:after="0"/>
        <w:ind w:left="0" w:right="0" w:firstLine="270"/>
        <w:jc w:val="left"/>
        <w:rPr/>
      </w:pPr>
      <w:r>
        <w:rPr>
          <w:rFonts w:ascii="Times New Roman;serif" w:hAnsi="Times New Roman;serif"/>
          <w:b w:val="false"/>
          <w:color w:val="000000"/>
          <w:sz w:val="16"/>
        </w:rPr>
        <w:t>If an emerging growth company, indicate by check mark if the registrant has elected not to use the extended transition period for complying with any new or revised financial accounting standards provided pursuant to Section 13(a) of the Exchange Act.    </w:t>
      </w:r>
      <w:r>
        <w:rPr>
          <w:color w:val="000000"/>
        </w:rPr>
        <w:t>☐</w:t>
      </w:r>
    </w:p>
    <w:p>
      <w:pPr>
        <w:pStyle w:val="TextBody"/>
        <w:bidi w:val="0"/>
        <w:spacing w:before="0" w:after="0"/>
        <w:ind w:left="0" w:right="0" w:firstLine="270"/>
        <w:jc w:val="left"/>
        <w:rPr/>
      </w:pPr>
      <w:r>
        <w:rPr/>
      </w:r>
    </w:p>
    <w:p>
      <w:pPr>
        <w:pStyle w:val="TextBody"/>
        <w:bidi w:val="0"/>
        <w:spacing w:lineRule="auto" w:line="288" w:before="80" w:after="283"/>
        <w:ind w:left="0" w:right="0" w:firstLine="270"/>
        <w:jc w:val="left"/>
        <w:rPr/>
      </w:pPr>
      <w:r>
        <w:rPr>
          <w:rFonts w:ascii="Times New Roman;serif" w:hAnsi="Times New Roman;serif"/>
          <w:b w:val="false"/>
          <w:color w:val="000000"/>
          <w:sz w:val="16"/>
        </w:rPr>
        <w:t>Indicate by check mark whether the registrant is a shell company (as defined in Rule 12b-2 of the Exchange Act).  Yes </w:t>
      </w:r>
      <w:r>
        <w:rPr>
          <w:color w:val="000000"/>
        </w:rPr>
        <w:t xml:space="preserve"> ☐  </w:t>
      </w:r>
      <w:r>
        <w:rPr>
          <w:rFonts w:ascii="Times New Roman;serif" w:hAnsi="Times New Roman;serif"/>
          <w:b w:val="false"/>
          <w:color w:val="000000"/>
          <w:sz w:val="16"/>
        </w:rPr>
        <w:t>No </w:t>
      </w:r>
      <w:r>
        <w:rPr>
          <w:color w:val="000000"/>
        </w:rPr>
        <w:t xml:space="preserve"> ☒</w:t>
      </w:r>
    </w:p>
    <w:p>
      <w:pPr>
        <w:pStyle w:val="TextBody"/>
        <w:bidi w:val="0"/>
        <w:spacing w:lineRule="auto" w:line="288" w:before="0" w:after="0"/>
        <w:ind w:left="0" w:right="0" w:firstLine="270"/>
        <w:jc w:val="left"/>
        <w:rPr>
          <w:color w:val="000000"/>
        </w:rPr>
      </w:pPr>
      <w:r>
        <w:rPr>
          <w:color w:val="000000"/>
        </w:rPr>
        <w:t> </w:t>
      </w:r>
    </w:p>
    <w:p>
      <w:pPr>
        <w:pStyle w:val="TextBody"/>
        <w:bidi w:val="0"/>
        <w:spacing w:lineRule="auto" w:line="288" w:before="0" w:after="0"/>
        <w:ind w:left="0" w:right="0" w:firstLine="270"/>
        <w:jc w:val="left"/>
        <w:rPr>
          <w:rFonts w:ascii="Times New Roman;serif" w:hAnsi="Times New Roman;serif"/>
          <w:b w:val="false"/>
          <w:color w:val="000000"/>
          <w:sz w:val="16"/>
        </w:rPr>
      </w:pPr>
      <w:r>
        <w:rPr>
          <w:rFonts w:ascii="Times New Roman;serif" w:hAnsi="Times New Roman;serif"/>
          <w:b w:val="false"/>
          <w:color w:val="000000"/>
          <w:sz w:val="16"/>
        </w:rPr>
        <w:t>Indicate the number of shares outstanding of each of the issuer’s classes of common stock, as of the latest practicable date.</w:t>
      </w:r>
    </w:p>
    <w:tbl>
      <w:tblPr>
        <w:tblW w:w="6505" w:type="dxa"/>
        <w:jc w:val="center"/>
        <w:tblInd w:w="0" w:type="dxa"/>
        <w:tblLayout w:type="fixed"/>
        <w:tblCellMar>
          <w:top w:w="28" w:type="dxa"/>
          <w:left w:w="28" w:type="dxa"/>
          <w:bottom w:w="28" w:type="dxa"/>
          <w:right w:w="28" w:type="dxa"/>
        </w:tblCellMar>
      </w:tblPr>
      <w:tblGrid>
        <w:gridCol w:w="1302"/>
        <w:gridCol w:w="1151"/>
        <w:gridCol w:w="1161"/>
        <w:gridCol w:w="109"/>
        <w:gridCol w:w="109"/>
        <w:gridCol w:w="109"/>
        <w:gridCol w:w="749"/>
        <w:gridCol w:w="749"/>
        <w:gridCol w:w="1066"/>
      </w:tblGrid>
      <w:tr>
        <w:trPr/>
        <w:tc>
          <w:tcPr>
            <w:tcW w:w="1302" w:type="dxa"/>
            <w:tcBorders/>
            <w:vAlign w:val="center"/>
          </w:tcPr>
          <w:p>
            <w:pPr>
              <w:pStyle w:val="TableContents"/>
              <w:bidi w:val="0"/>
              <w:spacing w:before="0" w:after="283"/>
              <w:jc w:val="left"/>
              <w:rPr>
                <w:sz w:val="4"/>
                <w:szCs w:val="4"/>
              </w:rPr>
            </w:pPr>
            <w:r>
              <w:rPr>
                <w:sz w:val="4"/>
                <w:szCs w:val="4"/>
              </w:rPr>
            </w:r>
          </w:p>
        </w:tc>
        <w:tc>
          <w:tcPr>
            <w:tcW w:w="1151" w:type="dxa"/>
            <w:tcBorders/>
            <w:vAlign w:val="center"/>
          </w:tcPr>
          <w:p>
            <w:pPr>
              <w:pStyle w:val="TableContents"/>
              <w:bidi w:val="0"/>
              <w:spacing w:before="0" w:after="283"/>
              <w:jc w:val="left"/>
              <w:rPr>
                <w:sz w:val="4"/>
                <w:szCs w:val="4"/>
              </w:rPr>
            </w:pPr>
            <w:r>
              <w:rPr>
                <w:sz w:val="4"/>
                <w:szCs w:val="4"/>
              </w:rPr>
            </w:r>
          </w:p>
        </w:tc>
        <w:tc>
          <w:tcPr>
            <w:tcW w:w="11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49" w:type="dxa"/>
            <w:tcBorders/>
            <w:vAlign w:val="center"/>
          </w:tcPr>
          <w:p>
            <w:pPr>
              <w:pStyle w:val="TableContents"/>
              <w:bidi w:val="0"/>
              <w:spacing w:before="0" w:after="283"/>
              <w:jc w:val="left"/>
              <w:rPr>
                <w:sz w:val="4"/>
                <w:szCs w:val="4"/>
              </w:rPr>
            </w:pPr>
            <w:r>
              <w:rPr>
                <w:sz w:val="4"/>
                <w:szCs w:val="4"/>
              </w:rPr>
            </w:r>
          </w:p>
        </w:tc>
        <w:tc>
          <w:tcPr>
            <w:tcW w:w="749" w:type="dxa"/>
            <w:tcBorders/>
            <w:vAlign w:val="center"/>
          </w:tcPr>
          <w:p>
            <w:pPr>
              <w:pStyle w:val="TableContents"/>
              <w:bidi w:val="0"/>
              <w:spacing w:before="0" w:after="283"/>
              <w:jc w:val="left"/>
              <w:rPr>
                <w:sz w:val="4"/>
                <w:szCs w:val="4"/>
              </w:rPr>
            </w:pPr>
            <w:r>
              <w:rPr>
                <w:sz w:val="4"/>
                <w:szCs w:val="4"/>
              </w:rPr>
            </w:r>
          </w:p>
        </w:tc>
        <w:tc>
          <w:tcPr>
            <w:tcW w:w="1066" w:type="dxa"/>
            <w:tcBorders/>
            <w:vAlign w:val="center"/>
          </w:tcPr>
          <w:p>
            <w:pPr>
              <w:pStyle w:val="TableContents"/>
              <w:bidi w:val="0"/>
              <w:spacing w:before="0" w:after="283"/>
              <w:jc w:val="left"/>
              <w:rPr>
                <w:sz w:val="4"/>
                <w:szCs w:val="4"/>
              </w:rPr>
            </w:pPr>
            <w:r>
              <w:rPr>
                <w:sz w:val="4"/>
                <w:szCs w:val="4"/>
              </w:rPr>
            </w:r>
          </w:p>
        </w:tc>
      </w:tr>
      <w:tr>
        <w:trPr/>
        <w:tc>
          <w:tcPr>
            <w:tcW w:w="361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Class</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56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Outstanding at October 31, 2025</w:t>
            </w:r>
          </w:p>
        </w:tc>
      </w:tr>
      <w:tr>
        <w:trPr/>
        <w:tc>
          <w:tcPr>
            <w:tcW w:w="361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Class A Common Stock, $0.01 par value per share</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56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46,774,702 shares</w:t>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
                <wp:simplePos x="0" y="0"/>
                <wp:positionH relativeFrom="character">
                  <wp:align>left</wp:align>
                </wp:positionH>
                <wp:positionV relativeFrom="line">
                  <wp:posOffset>635</wp:posOffset>
                </wp:positionV>
                <wp:extent cx="6480175" cy="175260"/>
                <wp:effectExtent l="0" t="0" r="0" b="0"/>
                <wp:wrapNone/>
                <wp:docPr id="1" name="Frame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lineRule="auto" w:line="288" w:before="160" w:after="160"/>
        <w:jc w:val="left"/>
        <w:rPr/>
      </w:pPr>
      <w:hyperlink w:anchor="i0388035fcf6a4f6ca5f569f2895a7d6a_10">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TABLE OF CONTENTS</w:t>
      </w:r>
    </w:p>
    <w:tbl>
      <w:tblPr>
        <w:tblW w:w="9480" w:type="dxa"/>
        <w:jc w:val="center"/>
        <w:tblInd w:w="0" w:type="dxa"/>
        <w:tblLayout w:type="fixed"/>
        <w:tblCellMar>
          <w:top w:w="28" w:type="dxa"/>
          <w:left w:w="28" w:type="dxa"/>
          <w:bottom w:w="28" w:type="dxa"/>
          <w:right w:w="28" w:type="dxa"/>
        </w:tblCellMar>
      </w:tblPr>
      <w:tblGrid>
        <w:gridCol w:w="283"/>
        <w:gridCol w:w="248"/>
        <w:gridCol w:w="249"/>
        <w:gridCol w:w="264"/>
        <w:gridCol w:w="264"/>
        <w:gridCol w:w="266"/>
        <w:gridCol w:w="2443"/>
        <w:gridCol w:w="2443"/>
        <w:gridCol w:w="2449"/>
        <w:gridCol w:w="167"/>
        <w:gridCol w:w="167"/>
        <w:gridCol w:w="237"/>
      </w:tblGrid>
      <w:tr>
        <w:trPr/>
        <w:tc>
          <w:tcPr>
            <w:tcW w:w="283" w:type="dxa"/>
            <w:tcBorders/>
            <w:vAlign w:val="center"/>
          </w:tcPr>
          <w:p>
            <w:pPr>
              <w:pStyle w:val="TableContents"/>
              <w:bidi w:val="0"/>
              <w:spacing w:before="0" w:after="283"/>
              <w:jc w:val="left"/>
              <w:rPr>
                <w:sz w:val="4"/>
                <w:szCs w:val="4"/>
              </w:rPr>
            </w:pPr>
            <w:r>
              <w:rPr>
                <w:sz w:val="4"/>
                <w:szCs w:val="4"/>
              </w:rPr>
            </w:r>
          </w:p>
        </w:tc>
        <w:tc>
          <w:tcPr>
            <w:tcW w:w="248" w:type="dxa"/>
            <w:tcBorders/>
            <w:vAlign w:val="center"/>
          </w:tcPr>
          <w:p>
            <w:pPr>
              <w:pStyle w:val="TableContents"/>
              <w:bidi w:val="0"/>
              <w:spacing w:before="0" w:after="283"/>
              <w:jc w:val="left"/>
              <w:rPr>
                <w:sz w:val="4"/>
                <w:szCs w:val="4"/>
              </w:rPr>
            </w:pPr>
            <w:r>
              <w:rPr>
                <w:sz w:val="4"/>
                <w:szCs w:val="4"/>
              </w:rPr>
            </w:r>
          </w:p>
        </w:tc>
        <w:tc>
          <w:tcPr>
            <w:tcW w:w="249" w:type="dxa"/>
            <w:tcBorders/>
            <w:vAlign w:val="center"/>
          </w:tcPr>
          <w:p>
            <w:pPr>
              <w:pStyle w:val="TableContents"/>
              <w:bidi w:val="0"/>
              <w:spacing w:before="0" w:after="283"/>
              <w:jc w:val="left"/>
              <w:rPr>
                <w:sz w:val="4"/>
                <w:szCs w:val="4"/>
              </w:rPr>
            </w:pPr>
            <w:r>
              <w:rPr>
                <w:sz w:val="4"/>
                <w:szCs w:val="4"/>
              </w:rPr>
            </w:r>
          </w:p>
        </w:tc>
        <w:tc>
          <w:tcPr>
            <w:tcW w:w="264" w:type="dxa"/>
            <w:tcBorders/>
            <w:vAlign w:val="center"/>
          </w:tcPr>
          <w:p>
            <w:pPr>
              <w:pStyle w:val="TableContents"/>
              <w:bidi w:val="0"/>
              <w:spacing w:before="0" w:after="283"/>
              <w:jc w:val="left"/>
              <w:rPr>
                <w:sz w:val="4"/>
                <w:szCs w:val="4"/>
              </w:rPr>
            </w:pPr>
            <w:r>
              <w:rPr>
                <w:sz w:val="4"/>
                <w:szCs w:val="4"/>
              </w:rPr>
            </w:r>
          </w:p>
        </w:tc>
        <w:tc>
          <w:tcPr>
            <w:tcW w:w="264" w:type="dxa"/>
            <w:tcBorders/>
            <w:vAlign w:val="center"/>
          </w:tcPr>
          <w:p>
            <w:pPr>
              <w:pStyle w:val="TableContents"/>
              <w:bidi w:val="0"/>
              <w:spacing w:before="0" w:after="283"/>
              <w:jc w:val="left"/>
              <w:rPr>
                <w:sz w:val="4"/>
                <w:szCs w:val="4"/>
              </w:rPr>
            </w:pPr>
            <w:r>
              <w:rPr>
                <w:sz w:val="4"/>
                <w:szCs w:val="4"/>
              </w:rPr>
            </w:r>
          </w:p>
        </w:tc>
        <w:tc>
          <w:tcPr>
            <w:tcW w:w="266" w:type="dxa"/>
            <w:tcBorders/>
            <w:vAlign w:val="center"/>
          </w:tcPr>
          <w:p>
            <w:pPr>
              <w:pStyle w:val="TableContents"/>
              <w:bidi w:val="0"/>
              <w:spacing w:before="0" w:after="283"/>
              <w:jc w:val="left"/>
              <w:rPr>
                <w:sz w:val="4"/>
                <w:szCs w:val="4"/>
              </w:rPr>
            </w:pPr>
            <w:r>
              <w:rPr>
                <w:sz w:val="4"/>
                <w:szCs w:val="4"/>
              </w:rPr>
            </w:r>
          </w:p>
        </w:tc>
        <w:tc>
          <w:tcPr>
            <w:tcW w:w="2443" w:type="dxa"/>
            <w:tcBorders/>
            <w:vAlign w:val="center"/>
          </w:tcPr>
          <w:p>
            <w:pPr>
              <w:pStyle w:val="TableContents"/>
              <w:bidi w:val="0"/>
              <w:spacing w:before="0" w:after="283"/>
              <w:jc w:val="left"/>
              <w:rPr>
                <w:sz w:val="4"/>
                <w:szCs w:val="4"/>
              </w:rPr>
            </w:pPr>
            <w:r>
              <w:rPr>
                <w:sz w:val="4"/>
                <w:szCs w:val="4"/>
              </w:rPr>
            </w:r>
          </w:p>
        </w:tc>
        <w:tc>
          <w:tcPr>
            <w:tcW w:w="2443" w:type="dxa"/>
            <w:tcBorders/>
            <w:vAlign w:val="center"/>
          </w:tcPr>
          <w:p>
            <w:pPr>
              <w:pStyle w:val="TableContents"/>
              <w:bidi w:val="0"/>
              <w:spacing w:before="0" w:after="283"/>
              <w:jc w:val="left"/>
              <w:rPr>
                <w:sz w:val="4"/>
                <w:szCs w:val="4"/>
              </w:rPr>
            </w:pPr>
            <w:r>
              <w:rPr>
                <w:sz w:val="4"/>
                <w:szCs w:val="4"/>
              </w:rPr>
            </w:r>
          </w:p>
        </w:tc>
        <w:tc>
          <w:tcPr>
            <w:tcW w:w="2449"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c>
          <w:tcPr>
            <w:tcW w:w="237" w:type="dxa"/>
            <w:tcBorders/>
            <w:vAlign w:val="center"/>
          </w:tcPr>
          <w:p>
            <w:pPr>
              <w:pStyle w:val="TableContents"/>
              <w:bidi w:val="0"/>
              <w:spacing w:before="0" w:after="283"/>
              <w:jc w:val="left"/>
              <w:rPr>
                <w:sz w:val="4"/>
                <w:szCs w:val="4"/>
              </w:rPr>
            </w:pPr>
            <w:r>
              <w:rPr>
                <w:sz w:val="4"/>
                <w:szCs w:val="4"/>
              </w:rPr>
            </w:r>
          </w:p>
        </w:tc>
      </w:tr>
      <w:tr>
        <w:trPr/>
        <w:tc>
          <w:tcPr>
            <w:tcW w:w="7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Page</w:t>
            </w:r>
          </w:p>
        </w:tc>
      </w:tr>
      <w:tr>
        <w:trPr/>
        <w:tc>
          <w:tcPr>
            <w:tcW w:w="78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0388035fcf6a4f6ca5f569f2895a7d6a_13">
              <w:r>
                <w:rPr>
                  <w:rStyle w:val="InternetLink"/>
                  <w:rFonts w:ascii="Times New Roman;serif" w:hAnsi="Times New Roman;serif"/>
                  <w:b w:val="false"/>
                  <w:color w:val="0000FF"/>
                  <w:sz w:val="20"/>
                  <w:u w:val="single"/>
                </w:rPr>
                <w:t>PART I</w:t>
              </w:r>
            </w:hyperlink>
          </w:p>
        </w:tc>
        <w:tc>
          <w:tcPr>
            <w:tcW w:w="7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0388035fcf6a4f6ca5f569f2895a7d6a_16">
              <w:r>
                <w:rPr>
                  <w:rStyle w:val="InternetLink"/>
                  <w:rFonts w:ascii="Times New Roman;serif" w:hAnsi="Times New Roman;serif"/>
                  <w:b w:val="false"/>
                  <w:color w:val="0000FF"/>
                  <w:sz w:val="20"/>
                  <w:u w:val="single"/>
                </w:rPr>
                <w:t xml:space="preserve">Item 1. </w:t>
              </w:r>
            </w:hyperlink>
          </w:p>
        </w:tc>
        <w:tc>
          <w:tcPr>
            <w:tcW w:w="733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0388035fcf6a4f6ca5f569f2895a7d6a_16">
              <w:r>
                <w:rPr>
                  <w:rStyle w:val="InternetLink"/>
                  <w:rFonts w:ascii="Times New Roman;serif" w:hAnsi="Times New Roman;serif"/>
                  <w:b w:val="false"/>
                  <w:color w:val="0000FF"/>
                  <w:sz w:val="20"/>
                  <w:u w:val="single"/>
                </w:rPr>
                <w:t>Financial Statements (unaudited)</w:t>
              </w:r>
            </w:hyperlink>
          </w:p>
        </w:tc>
        <w:tc>
          <w:tcPr>
            <w:tcW w:w="57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0388035fcf6a4f6ca5f569f2895a7d6a_16">
              <w:r>
                <w:rPr>
                  <w:rStyle w:val="InternetLink"/>
                  <w:rFonts w:ascii="Times New Roman;serif" w:hAnsi="Times New Roman;serif"/>
                  <w:b w:val="false"/>
                  <w:color w:val="0000FF"/>
                  <w:sz w:val="20"/>
                  <w:u w:val="single"/>
                </w:rPr>
                <w:t>2</w:t>
              </w:r>
            </w:hyperlink>
          </w:p>
        </w:tc>
      </w:tr>
      <w:tr>
        <w:trPr/>
        <w:tc>
          <w:tcPr>
            <w:tcW w:w="7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3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0388035fcf6a4f6ca5f569f2895a7d6a_19">
              <w:r>
                <w:rPr>
                  <w:rStyle w:val="InternetLink"/>
                  <w:rFonts w:ascii="Times New Roman;serif" w:hAnsi="Times New Roman;serif"/>
                  <w:b w:val="false"/>
                  <w:color w:val="0000FF"/>
                  <w:sz w:val="20"/>
                  <w:u w:val="single"/>
                </w:rPr>
                <w:t>Condensed Consolidated Balance Sheets</w:t>
              </w:r>
            </w:hyperlink>
          </w:p>
        </w:tc>
        <w:tc>
          <w:tcPr>
            <w:tcW w:w="57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0388035fcf6a4f6ca5f569f2895a7d6a_19">
              <w:r>
                <w:rPr>
                  <w:rStyle w:val="InternetLink"/>
                  <w:rFonts w:ascii="Times New Roman;serif" w:hAnsi="Times New Roman;serif"/>
                  <w:b w:val="false"/>
                  <w:color w:val="0000FF"/>
                  <w:sz w:val="20"/>
                  <w:u w:val="single"/>
                </w:rPr>
                <w:t>2</w:t>
              </w:r>
            </w:hyperlink>
          </w:p>
        </w:tc>
      </w:tr>
      <w:tr>
        <w:trPr/>
        <w:tc>
          <w:tcPr>
            <w:tcW w:w="7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3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0388035fcf6a4f6ca5f569f2895a7d6a_22">
              <w:r>
                <w:rPr>
                  <w:rStyle w:val="InternetLink"/>
                  <w:rFonts w:ascii="Times New Roman;serif" w:hAnsi="Times New Roman;serif"/>
                  <w:b w:val="false"/>
                  <w:color w:val="0000FF"/>
                  <w:sz w:val="20"/>
                  <w:u w:val="single"/>
                </w:rPr>
                <w:t>Condensed Consolidated Statements of Operations</w:t>
              </w:r>
            </w:hyperlink>
          </w:p>
        </w:tc>
        <w:tc>
          <w:tcPr>
            <w:tcW w:w="57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0388035fcf6a4f6ca5f569f2895a7d6a_22">
              <w:r>
                <w:rPr>
                  <w:rStyle w:val="InternetLink"/>
                  <w:rFonts w:ascii="Times New Roman;serif" w:hAnsi="Times New Roman;serif"/>
                  <w:b w:val="false"/>
                  <w:color w:val="0000FF"/>
                  <w:sz w:val="20"/>
                  <w:u w:val="single"/>
                </w:rPr>
                <w:t>3</w:t>
              </w:r>
            </w:hyperlink>
          </w:p>
        </w:tc>
      </w:tr>
      <w:tr>
        <w:trPr/>
        <w:tc>
          <w:tcPr>
            <w:tcW w:w="7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35" w:type="dxa"/>
            <w:gridSpan w:val="3"/>
            <w:tcBorders/>
            <w:tcMar>
              <w:top w:w="0" w:type="dxa"/>
              <w:left w:w="0" w:type="dxa"/>
              <w:bottom w:w="0" w:type="dxa"/>
              <w:right w:w="0" w:type="dxa"/>
            </w:tcMar>
            <w:vAlign w:val="center"/>
          </w:tcPr>
          <w:p>
            <w:pPr>
              <w:pStyle w:val="TableContents"/>
              <w:bidi w:val="0"/>
              <w:spacing w:lineRule="auto" w:line="240" w:before="0" w:after="60"/>
              <w:jc w:val="left"/>
              <w:rPr/>
            </w:pPr>
            <w:hyperlink w:anchor="i0388035fcf6a4f6ca5f569f2895a7d6a_28">
              <w:r>
                <w:rPr>
                  <w:rStyle w:val="InternetLink"/>
                  <w:rFonts w:ascii="Times New Roman;serif" w:hAnsi="Times New Roman;serif"/>
                  <w:b w:val="false"/>
                  <w:color w:val="000080"/>
                  <w:sz w:val="20"/>
                  <w:u w:val="single"/>
                </w:rPr>
                <w:t>Condensed Consolidated Statements of Stockholders’</w:t>
              </w:r>
            </w:hyperlink>
            <w:hyperlink w:anchor="i0388035fcf6a4f6ca5f569f2895a7d6a_28">
              <w:r>
                <w:rPr>
                  <w:rStyle w:val="InternetLink"/>
                  <w:rFonts w:ascii="Times New Roman;serif" w:hAnsi="Times New Roman;serif"/>
                  <w:b w:val="false"/>
                  <w:color w:val="000080"/>
                  <w:sz w:val="20"/>
                  <w:u w:val="single"/>
                </w:rPr>
                <w:t xml:space="preserve"> </w:t>
              </w:r>
            </w:hyperlink>
            <w:hyperlink w:anchor="i0388035fcf6a4f6ca5f569f2895a7d6a_28">
              <w:r>
                <w:rPr>
                  <w:rStyle w:val="InternetLink"/>
                  <w:rFonts w:ascii="Times New Roman;serif" w:hAnsi="Times New Roman;serif"/>
                  <w:b w:val="false"/>
                  <w:color w:val="000080"/>
                  <w:sz w:val="20"/>
                  <w:u w:val="single"/>
                </w:rPr>
                <w:t>Equity (</w:t>
              </w:r>
            </w:hyperlink>
            <w:hyperlink w:anchor="i0388035fcf6a4f6ca5f569f2895a7d6a_28">
              <w:r>
                <w:rPr>
                  <w:rStyle w:val="InternetLink"/>
                  <w:rFonts w:ascii="Times New Roman;serif" w:hAnsi="Times New Roman;serif"/>
                  <w:b w:val="false"/>
                  <w:color w:val="000080"/>
                  <w:sz w:val="20"/>
                  <w:u w:val="single"/>
                </w:rPr>
                <w:t>Deficit</w:t>
              </w:r>
            </w:hyperlink>
            <w:hyperlink w:anchor="i0388035fcf6a4f6ca5f569f2895a7d6a_28">
              <w:r>
                <w:rPr>
                  <w:rStyle w:val="InternetLink"/>
                  <w:rFonts w:ascii="Times New Roman;serif" w:hAnsi="Times New Roman;serif"/>
                  <w:b w:val="false"/>
                  <w:color w:val="000080"/>
                  <w:sz w:val="20"/>
                  <w:u w:val="single"/>
                </w:rPr>
                <w:t>)</w:t>
              </w:r>
            </w:hyperlink>
            <w:hyperlink w:anchor="i0388035fcf6a4f6ca5f569f2895a7d6a_28">
              <w:r>
                <w:rPr>
                  <w:rStyle w:val="InternetLink"/>
                  <w:rFonts w:ascii="Times New Roman;serif" w:hAnsi="Times New Roman;serif"/>
                  <w:b w:val="false"/>
                  <w:color w:val="000080"/>
                  <w:sz w:val="20"/>
                  <w:u w:val="single"/>
                </w:rPr>
                <w:t xml:space="preserve"> </w:t>
              </w:r>
            </w:hyperlink>
          </w:p>
        </w:tc>
        <w:tc>
          <w:tcPr>
            <w:tcW w:w="57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0388035fcf6a4f6ca5f569f2895a7d6a_28">
              <w:r>
                <w:rPr>
                  <w:rStyle w:val="InternetLink"/>
                  <w:rFonts w:ascii="Times New Roman;serif" w:hAnsi="Times New Roman;serif"/>
                  <w:b w:val="false"/>
                  <w:color w:val="0000FF"/>
                  <w:sz w:val="20"/>
                  <w:u w:val="single"/>
                </w:rPr>
                <w:t>4</w:t>
              </w:r>
            </w:hyperlink>
          </w:p>
        </w:tc>
      </w:tr>
      <w:tr>
        <w:trPr/>
        <w:tc>
          <w:tcPr>
            <w:tcW w:w="7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3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0388035fcf6a4f6ca5f569f2895a7d6a_31">
              <w:r>
                <w:rPr>
                  <w:rStyle w:val="InternetLink"/>
                  <w:rFonts w:ascii="Times New Roman;serif" w:hAnsi="Times New Roman;serif"/>
                  <w:b w:val="false"/>
                  <w:color w:val="0000FF"/>
                  <w:sz w:val="20"/>
                  <w:u w:val="single"/>
                </w:rPr>
                <w:t>Condensed Consolidated Statements of Cash Flows</w:t>
              </w:r>
            </w:hyperlink>
          </w:p>
        </w:tc>
        <w:tc>
          <w:tcPr>
            <w:tcW w:w="57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0388035fcf6a4f6ca5f569f2895a7d6a_31">
              <w:r>
                <w:rPr>
                  <w:rStyle w:val="InternetLink"/>
                  <w:rFonts w:ascii="Times New Roman;serif" w:hAnsi="Times New Roman;serif"/>
                  <w:b w:val="false"/>
                  <w:color w:val="0000FF"/>
                  <w:sz w:val="20"/>
                  <w:u w:val="single"/>
                </w:rPr>
                <w:t>5</w:t>
              </w:r>
            </w:hyperlink>
          </w:p>
        </w:tc>
      </w:tr>
      <w:tr>
        <w:trPr/>
        <w:tc>
          <w:tcPr>
            <w:tcW w:w="7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3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0388035fcf6a4f6ca5f569f2895a7d6a_34">
              <w:r>
                <w:rPr>
                  <w:rStyle w:val="InternetLink"/>
                  <w:rFonts w:ascii="Times New Roman;serif" w:hAnsi="Times New Roman;serif"/>
                  <w:b w:val="false"/>
                  <w:color w:val="0000FF"/>
                  <w:sz w:val="20"/>
                  <w:u w:val="single"/>
                </w:rPr>
                <w:t>Notes to Condensed Consolidated Financial Statements</w:t>
              </w:r>
            </w:hyperlink>
          </w:p>
        </w:tc>
        <w:tc>
          <w:tcPr>
            <w:tcW w:w="57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0388035fcf6a4f6ca5f569f2895a7d6a_34">
              <w:r>
                <w:rPr>
                  <w:rStyle w:val="InternetLink"/>
                  <w:rFonts w:ascii="Times New Roman;serif" w:hAnsi="Times New Roman;serif"/>
                  <w:b w:val="false"/>
                  <w:color w:val="0000FF"/>
                  <w:sz w:val="20"/>
                  <w:u w:val="single"/>
                </w:rPr>
                <w:t>6</w:t>
              </w:r>
            </w:hyperlink>
          </w:p>
        </w:tc>
      </w:tr>
      <w:tr>
        <w:trPr/>
        <w:tc>
          <w:tcPr>
            <w:tcW w:w="7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0388035fcf6a4f6ca5f569f2895a7d6a_97">
              <w:r>
                <w:rPr>
                  <w:rStyle w:val="InternetLink"/>
                  <w:rFonts w:ascii="Times New Roman;serif" w:hAnsi="Times New Roman;serif"/>
                  <w:b w:val="false"/>
                  <w:color w:val="0000FF"/>
                  <w:sz w:val="20"/>
                  <w:u w:val="single"/>
                </w:rPr>
                <w:t>Item 2.</w:t>
              </w:r>
            </w:hyperlink>
          </w:p>
        </w:tc>
        <w:tc>
          <w:tcPr>
            <w:tcW w:w="733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0388035fcf6a4f6ca5f569f2895a7d6a_97">
              <w:r>
                <w:rPr>
                  <w:rStyle w:val="InternetLink"/>
                  <w:rFonts w:ascii="Times New Roman;serif" w:hAnsi="Times New Roman;serif"/>
                  <w:b w:val="false"/>
                  <w:color w:val="0000FF"/>
                  <w:sz w:val="20"/>
                  <w:u w:val="single"/>
                </w:rPr>
                <w:t>Management's Discussion and Analysis of Financial Condition and Results of Operations</w:t>
              </w:r>
            </w:hyperlink>
          </w:p>
        </w:tc>
        <w:tc>
          <w:tcPr>
            <w:tcW w:w="57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0388035fcf6a4f6ca5f569f2895a7d6a_97">
              <w:r>
                <w:rPr>
                  <w:rStyle w:val="InternetLink"/>
                  <w:rFonts w:ascii="Times New Roman;serif" w:hAnsi="Times New Roman;serif"/>
                  <w:b w:val="false"/>
                  <w:color w:val="0000FF"/>
                  <w:sz w:val="20"/>
                  <w:u w:val="single"/>
                </w:rPr>
                <w:t>15</w:t>
              </w:r>
            </w:hyperlink>
          </w:p>
        </w:tc>
      </w:tr>
      <w:tr>
        <w:trPr/>
        <w:tc>
          <w:tcPr>
            <w:tcW w:w="7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0388035fcf6a4f6ca5f569f2895a7d6a_118">
              <w:r>
                <w:rPr>
                  <w:rStyle w:val="InternetLink"/>
                  <w:rFonts w:ascii="Times New Roman;serif" w:hAnsi="Times New Roman;serif"/>
                  <w:b w:val="false"/>
                  <w:color w:val="0000FF"/>
                  <w:sz w:val="20"/>
                  <w:u w:val="single"/>
                </w:rPr>
                <w:t>Item 3.</w:t>
              </w:r>
            </w:hyperlink>
          </w:p>
        </w:tc>
        <w:tc>
          <w:tcPr>
            <w:tcW w:w="733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0388035fcf6a4f6ca5f569f2895a7d6a_118">
              <w:r>
                <w:rPr>
                  <w:rStyle w:val="InternetLink"/>
                  <w:rFonts w:ascii="Times New Roman;serif" w:hAnsi="Times New Roman;serif"/>
                  <w:b w:val="false"/>
                  <w:color w:val="0000FF"/>
                  <w:sz w:val="20"/>
                  <w:u w:val="single"/>
                </w:rPr>
                <w:t>Quantitative and Qualitative Disclosures About Market Risk</w:t>
              </w:r>
            </w:hyperlink>
          </w:p>
        </w:tc>
        <w:tc>
          <w:tcPr>
            <w:tcW w:w="57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0388035fcf6a4f6ca5f569f2895a7d6a_118">
              <w:r>
                <w:rPr>
                  <w:rStyle w:val="InternetLink"/>
                  <w:rFonts w:ascii="Times New Roman;serif" w:hAnsi="Times New Roman;serif"/>
                  <w:b w:val="false"/>
                  <w:color w:val="0000FF"/>
                  <w:sz w:val="20"/>
                  <w:u w:val="single"/>
                </w:rPr>
                <w:t>28</w:t>
              </w:r>
            </w:hyperlink>
          </w:p>
        </w:tc>
      </w:tr>
      <w:tr>
        <w:trPr/>
        <w:tc>
          <w:tcPr>
            <w:tcW w:w="7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0388035fcf6a4f6ca5f569f2895a7d6a_121">
              <w:r>
                <w:rPr>
                  <w:rStyle w:val="InternetLink"/>
                  <w:rFonts w:ascii="Times New Roman;serif" w:hAnsi="Times New Roman;serif"/>
                  <w:b w:val="false"/>
                  <w:color w:val="0000FF"/>
                  <w:sz w:val="20"/>
                  <w:u w:val="single"/>
                </w:rPr>
                <w:t>Item 4.</w:t>
              </w:r>
            </w:hyperlink>
          </w:p>
        </w:tc>
        <w:tc>
          <w:tcPr>
            <w:tcW w:w="733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0388035fcf6a4f6ca5f569f2895a7d6a_121">
              <w:r>
                <w:rPr>
                  <w:rStyle w:val="InternetLink"/>
                  <w:rFonts w:ascii="Times New Roman;serif" w:hAnsi="Times New Roman;serif"/>
                  <w:b w:val="false"/>
                  <w:color w:val="0000FF"/>
                  <w:sz w:val="20"/>
                  <w:u w:val="single"/>
                </w:rPr>
                <w:t>Controls and Procedures</w:t>
              </w:r>
            </w:hyperlink>
          </w:p>
        </w:tc>
        <w:tc>
          <w:tcPr>
            <w:tcW w:w="57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0388035fcf6a4f6ca5f569f2895a7d6a_121">
              <w:r>
                <w:rPr>
                  <w:rStyle w:val="InternetLink"/>
                  <w:rFonts w:ascii="Times New Roman;serif" w:hAnsi="Times New Roman;serif"/>
                  <w:b w:val="false"/>
                  <w:color w:val="0000FF"/>
                  <w:sz w:val="20"/>
                  <w:u w:val="single"/>
                </w:rPr>
                <w:t>28</w:t>
              </w:r>
            </w:hyperlink>
          </w:p>
        </w:tc>
      </w:tr>
      <w:tr>
        <w:trPr/>
        <w:tc>
          <w:tcPr>
            <w:tcW w:w="78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0388035fcf6a4f6ca5f569f2895a7d6a_124">
              <w:r>
                <w:rPr>
                  <w:rStyle w:val="InternetLink"/>
                  <w:rFonts w:ascii="Times New Roman;serif" w:hAnsi="Times New Roman;serif"/>
                  <w:b w:val="false"/>
                  <w:color w:val="0000FF"/>
                  <w:sz w:val="20"/>
                  <w:u w:val="single"/>
                </w:rPr>
                <w:t>PART II</w:t>
              </w:r>
            </w:hyperlink>
          </w:p>
        </w:tc>
        <w:tc>
          <w:tcPr>
            <w:tcW w:w="7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0388035fcf6a4f6ca5f569f2895a7d6a_127">
              <w:r>
                <w:rPr>
                  <w:rStyle w:val="InternetLink"/>
                  <w:rFonts w:ascii="Times New Roman;serif" w:hAnsi="Times New Roman;serif"/>
                  <w:b w:val="false"/>
                  <w:color w:val="0000FF"/>
                  <w:sz w:val="20"/>
                  <w:u w:val="single"/>
                </w:rPr>
                <w:t>Item 1.</w:t>
              </w:r>
            </w:hyperlink>
          </w:p>
        </w:tc>
        <w:tc>
          <w:tcPr>
            <w:tcW w:w="733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0388035fcf6a4f6ca5f569f2895a7d6a_127">
              <w:r>
                <w:rPr>
                  <w:rStyle w:val="InternetLink"/>
                  <w:rFonts w:ascii="Times New Roman;serif" w:hAnsi="Times New Roman;serif"/>
                  <w:b w:val="false"/>
                  <w:color w:val="0000FF"/>
                  <w:sz w:val="20"/>
                  <w:u w:val="single"/>
                </w:rPr>
                <w:t>Legal Proceedings</w:t>
              </w:r>
            </w:hyperlink>
          </w:p>
        </w:tc>
        <w:tc>
          <w:tcPr>
            <w:tcW w:w="57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0388035fcf6a4f6ca5f569f2895a7d6a_127">
              <w:r>
                <w:rPr>
                  <w:rStyle w:val="InternetLink"/>
                  <w:rFonts w:ascii="Times New Roman;serif" w:hAnsi="Times New Roman;serif"/>
                  <w:b w:val="false"/>
                  <w:color w:val="0000FF"/>
                  <w:sz w:val="20"/>
                  <w:u w:val="single"/>
                </w:rPr>
                <w:t>30</w:t>
              </w:r>
            </w:hyperlink>
          </w:p>
        </w:tc>
      </w:tr>
      <w:tr>
        <w:trPr/>
        <w:tc>
          <w:tcPr>
            <w:tcW w:w="7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0388035fcf6a4f6ca5f569f2895a7d6a_130">
              <w:r>
                <w:rPr>
                  <w:rStyle w:val="InternetLink"/>
                  <w:rFonts w:ascii="Times New Roman;serif" w:hAnsi="Times New Roman;serif"/>
                  <w:b w:val="false"/>
                  <w:color w:val="0000FF"/>
                  <w:sz w:val="20"/>
                  <w:u w:val="single"/>
                </w:rPr>
                <w:t>Item 1A.</w:t>
              </w:r>
            </w:hyperlink>
          </w:p>
        </w:tc>
        <w:tc>
          <w:tcPr>
            <w:tcW w:w="733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0388035fcf6a4f6ca5f569f2895a7d6a_130">
              <w:r>
                <w:rPr>
                  <w:rStyle w:val="InternetLink"/>
                  <w:rFonts w:ascii="Times New Roman;serif" w:hAnsi="Times New Roman;serif"/>
                  <w:b w:val="false"/>
                  <w:color w:val="0000FF"/>
                  <w:sz w:val="20"/>
                  <w:u w:val="single"/>
                </w:rPr>
                <w:t>Risk Factors</w:t>
              </w:r>
            </w:hyperlink>
          </w:p>
        </w:tc>
        <w:tc>
          <w:tcPr>
            <w:tcW w:w="57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0388035fcf6a4f6ca5f569f2895a7d6a_130">
              <w:r>
                <w:rPr>
                  <w:rStyle w:val="InternetLink"/>
                  <w:rFonts w:ascii="Times New Roman;serif" w:hAnsi="Times New Roman;serif"/>
                  <w:b w:val="false"/>
                  <w:color w:val="0000FF"/>
                  <w:sz w:val="20"/>
                  <w:u w:val="single"/>
                </w:rPr>
                <w:t>30</w:t>
              </w:r>
            </w:hyperlink>
          </w:p>
        </w:tc>
      </w:tr>
      <w:tr>
        <w:trPr/>
        <w:tc>
          <w:tcPr>
            <w:tcW w:w="7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0388035fcf6a4f6ca5f569f2895a7d6a_133">
              <w:r>
                <w:rPr>
                  <w:rStyle w:val="InternetLink"/>
                  <w:rFonts w:ascii="Times New Roman;serif" w:hAnsi="Times New Roman;serif"/>
                  <w:b w:val="false"/>
                  <w:color w:val="0000FF"/>
                  <w:sz w:val="20"/>
                  <w:u w:val="single"/>
                </w:rPr>
                <w:t>Item 2.</w:t>
              </w:r>
            </w:hyperlink>
          </w:p>
        </w:tc>
        <w:tc>
          <w:tcPr>
            <w:tcW w:w="733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0388035fcf6a4f6ca5f569f2895a7d6a_133">
              <w:r>
                <w:rPr>
                  <w:rStyle w:val="InternetLink"/>
                  <w:rFonts w:ascii="Times New Roman;serif" w:hAnsi="Times New Roman;serif"/>
                  <w:b w:val="false"/>
                  <w:color w:val="0000FF"/>
                  <w:sz w:val="20"/>
                  <w:u w:val="single"/>
                </w:rPr>
                <w:t>Unregistered Sales of Equity Securities and Use of Proceeds</w:t>
              </w:r>
            </w:hyperlink>
          </w:p>
        </w:tc>
        <w:tc>
          <w:tcPr>
            <w:tcW w:w="57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0388035fcf6a4f6ca5f569f2895a7d6a_133">
              <w:r>
                <w:rPr>
                  <w:rStyle w:val="InternetLink"/>
                  <w:rFonts w:ascii="Times New Roman;serif" w:hAnsi="Times New Roman;serif"/>
                  <w:b w:val="false"/>
                  <w:color w:val="0000FF"/>
                  <w:sz w:val="20"/>
                  <w:u w:val="single"/>
                </w:rPr>
                <w:t>31</w:t>
              </w:r>
            </w:hyperlink>
          </w:p>
        </w:tc>
      </w:tr>
      <w:tr>
        <w:trPr/>
        <w:tc>
          <w:tcPr>
            <w:tcW w:w="7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0388035fcf6a4f6ca5f569f2895a7d6a_139">
              <w:r>
                <w:rPr>
                  <w:rStyle w:val="InternetLink"/>
                  <w:rFonts w:ascii="Times New Roman;serif" w:hAnsi="Times New Roman;serif"/>
                  <w:b w:val="false"/>
                  <w:color w:val="0000FF"/>
                  <w:sz w:val="20"/>
                  <w:u w:val="single"/>
                </w:rPr>
                <w:t>Item 3.</w:t>
              </w:r>
            </w:hyperlink>
          </w:p>
        </w:tc>
        <w:tc>
          <w:tcPr>
            <w:tcW w:w="733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0388035fcf6a4f6ca5f569f2895a7d6a_139">
              <w:r>
                <w:rPr>
                  <w:rStyle w:val="InternetLink"/>
                  <w:rFonts w:ascii="Times New Roman;serif" w:hAnsi="Times New Roman;serif"/>
                  <w:b w:val="false"/>
                  <w:color w:val="0000FF"/>
                  <w:sz w:val="20"/>
                  <w:u w:val="single"/>
                </w:rPr>
                <w:t>Defaults Upon Senior Securities</w:t>
              </w:r>
            </w:hyperlink>
          </w:p>
        </w:tc>
        <w:tc>
          <w:tcPr>
            <w:tcW w:w="57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0388035fcf6a4f6ca5f569f2895a7d6a_139">
              <w:r>
                <w:rPr>
                  <w:rStyle w:val="InternetLink"/>
                  <w:rFonts w:ascii="Times New Roman;serif" w:hAnsi="Times New Roman;serif"/>
                  <w:b w:val="false"/>
                  <w:color w:val="0000FF"/>
                  <w:sz w:val="20"/>
                  <w:u w:val="single"/>
                </w:rPr>
                <w:t>31</w:t>
              </w:r>
            </w:hyperlink>
          </w:p>
        </w:tc>
      </w:tr>
      <w:tr>
        <w:trPr/>
        <w:tc>
          <w:tcPr>
            <w:tcW w:w="7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0388035fcf6a4f6ca5f569f2895a7d6a_142">
              <w:r>
                <w:rPr>
                  <w:rStyle w:val="InternetLink"/>
                  <w:rFonts w:ascii="Times New Roman;serif" w:hAnsi="Times New Roman;serif"/>
                  <w:b w:val="false"/>
                  <w:color w:val="0000FF"/>
                  <w:sz w:val="20"/>
                  <w:u w:val="single"/>
                </w:rPr>
                <w:t>Item 4.</w:t>
              </w:r>
            </w:hyperlink>
          </w:p>
        </w:tc>
        <w:tc>
          <w:tcPr>
            <w:tcW w:w="733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0388035fcf6a4f6ca5f569f2895a7d6a_142">
              <w:r>
                <w:rPr>
                  <w:rStyle w:val="InternetLink"/>
                  <w:rFonts w:ascii="Times New Roman;serif" w:hAnsi="Times New Roman;serif"/>
                  <w:b w:val="false"/>
                  <w:color w:val="0000FF"/>
                  <w:sz w:val="20"/>
                  <w:u w:val="single"/>
                </w:rPr>
                <w:t>Mine Safety Disclosures</w:t>
              </w:r>
            </w:hyperlink>
          </w:p>
        </w:tc>
        <w:tc>
          <w:tcPr>
            <w:tcW w:w="57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0388035fcf6a4f6ca5f569f2895a7d6a_142">
              <w:r>
                <w:rPr>
                  <w:rStyle w:val="InternetLink"/>
                  <w:rFonts w:ascii="Times New Roman;serif" w:hAnsi="Times New Roman;serif"/>
                  <w:b w:val="false"/>
                  <w:color w:val="0000FF"/>
                  <w:sz w:val="20"/>
                  <w:u w:val="single"/>
                </w:rPr>
                <w:t>31</w:t>
              </w:r>
            </w:hyperlink>
          </w:p>
        </w:tc>
      </w:tr>
      <w:tr>
        <w:trPr/>
        <w:tc>
          <w:tcPr>
            <w:tcW w:w="7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0388035fcf6a4f6ca5f569f2895a7d6a_145">
              <w:r>
                <w:rPr>
                  <w:rStyle w:val="InternetLink"/>
                  <w:rFonts w:ascii="Times New Roman;serif" w:hAnsi="Times New Roman;serif"/>
                  <w:b w:val="false"/>
                  <w:color w:val="0000FF"/>
                  <w:sz w:val="20"/>
                  <w:u w:val="single"/>
                </w:rPr>
                <w:t>Item 5.</w:t>
              </w:r>
            </w:hyperlink>
          </w:p>
        </w:tc>
        <w:tc>
          <w:tcPr>
            <w:tcW w:w="733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0388035fcf6a4f6ca5f569f2895a7d6a_145">
              <w:r>
                <w:rPr>
                  <w:rStyle w:val="InternetLink"/>
                  <w:rFonts w:ascii="Times New Roman;serif" w:hAnsi="Times New Roman;serif"/>
                  <w:b w:val="false"/>
                  <w:color w:val="0000FF"/>
                  <w:sz w:val="20"/>
                  <w:u w:val="single"/>
                </w:rPr>
                <w:t>Other Information</w:t>
              </w:r>
            </w:hyperlink>
          </w:p>
        </w:tc>
        <w:tc>
          <w:tcPr>
            <w:tcW w:w="57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0388035fcf6a4f6ca5f569f2895a7d6a_145">
              <w:r>
                <w:rPr>
                  <w:rStyle w:val="InternetLink"/>
                  <w:rFonts w:ascii="Times New Roman;serif" w:hAnsi="Times New Roman;serif"/>
                  <w:b w:val="false"/>
                  <w:color w:val="0000FF"/>
                  <w:sz w:val="20"/>
                  <w:u w:val="single"/>
                </w:rPr>
                <w:t>31</w:t>
              </w:r>
            </w:hyperlink>
          </w:p>
        </w:tc>
      </w:tr>
      <w:tr>
        <w:trPr/>
        <w:tc>
          <w:tcPr>
            <w:tcW w:w="7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0388035fcf6a4f6ca5f569f2895a7d6a_148">
              <w:r>
                <w:rPr>
                  <w:rStyle w:val="InternetLink"/>
                  <w:rFonts w:ascii="Times New Roman;serif" w:hAnsi="Times New Roman;serif"/>
                  <w:b w:val="false"/>
                  <w:color w:val="0000FF"/>
                  <w:sz w:val="20"/>
                  <w:u w:val="single"/>
                </w:rPr>
                <w:t>Item 6.</w:t>
              </w:r>
            </w:hyperlink>
          </w:p>
        </w:tc>
        <w:tc>
          <w:tcPr>
            <w:tcW w:w="733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0388035fcf6a4f6ca5f569f2895a7d6a_148">
              <w:r>
                <w:rPr>
                  <w:rStyle w:val="InternetLink"/>
                  <w:rFonts w:ascii="Times New Roman;serif" w:hAnsi="Times New Roman;serif"/>
                  <w:b w:val="false"/>
                  <w:color w:val="0000FF"/>
                  <w:sz w:val="20"/>
                  <w:u w:val="single"/>
                </w:rPr>
                <w:t>Exhibits</w:t>
              </w:r>
            </w:hyperlink>
          </w:p>
        </w:tc>
        <w:tc>
          <w:tcPr>
            <w:tcW w:w="57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0388035fcf6a4f6ca5f569f2895a7d6a_148">
              <w:r>
                <w:rPr>
                  <w:rStyle w:val="InternetLink"/>
                  <w:rFonts w:ascii="Times New Roman;serif" w:hAnsi="Times New Roman;serif"/>
                  <w:b w:val="false"/>
                  <w:color w:val="0000FF"/>
                  <w:sz w:val="20"/>
                  <w:u w:val="single"/>
                </w:rPr>
                <w:t>32</w:t>
              </w:r>
            </w:hyperlink>
          </w:p>
        </w:tc>
      </w:tr>
      <w:tr>
        <w:trPr/>
        <w:tc>
          <w:tcPr>
            <w:tcW w:w="1574" w:type="dxa"/>
            <w:gridSpan w:val="6"/>
            <w:tcBorders/>
            <w:tcMar>
              <w:top w:w="0" w:type="dxa"/>
              <w:left w:w="0" w:type="dxa"/>
              <w:bottom w:w="0" w:type="dxa"/>
              <w:right w:w="0" w:type="dxa"/>
            </w:tcMar>
            <w:vAlign w:val="center"/>
          </w:tcPr>
          <w:p>
            <w:pPr>
              <w:pStyle w:val="TableContents"/>
              <w:bidi w:val="0"/>
              <w:spacing w:lineRule="auto" w:line="240" w:before="0" w:after="0"/>
              <w:jc w:val="left"/>
              <w:rPr/>
            </w:pPr>
            <w:hyperlink w:anchor="i0388035fcf6a4f6ca5f569f2895a7d6a_151">
              <w:r>
                <w:rPr>
                  <w:rStyle w:val="InternetLink"/>
                  <w:rFonts w:ascii="Times New Roman;serif" w:hAnsi="Times New Roman;serif"/>
                  <w:b w:val="false"/>
                  <w:color w:val="0000FF"/>
                  <w:sz w:val="20"/>
                  <w:u w:val="single"/>
                </w:rPr>
                <w:t>SIGNATURES</w:t>
              </w:r>
            </w:hyperlink>
          </w:p>
        </w:tc>
        <w:tc>
          <w:tcPr>
            <w:tcW w:w="73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0388035fcf6a4f6ca5f569f2895a7d6a_151">
              <w:r>
                <w:rPr>
                  <w:rStyle w:val="InternetLink"/>
                  <w:rFonts w:ascii="Times New Roman;serif" w:hAnsi="Times New Roman;serif"/>
                  <w:b w:val="false"/>
                  <w:color w:val="0000FF"/>
                  <w:sz w:val="20"/>
                  <w:u w:val="single"/>
                </w:rPr>
                <w:t>33</w:t>
              </w:r>
            </w:hyperlink>
          </w:p>
        </w:tc>
      </w:tr>
    </w:tbl>
    <w:p>
      <w:pPr>
        <w:pStyle w:val="TextBody"/>
        <w:bidi w:val="0"/>
        <w:spacing w:before="0" w:after="0"/>
        <w:jc w:val="left"/>
        <w:rPr/>
      </w:pPr>
      <w:r>
        <w:rPr/>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
                <wp:simplePos x="0" y="0"/>
                <wp:positionH relativeFrom="character">
                  <wp:align>left</wp:align>
                </wp:positionH>
                <wp:positionV relativeFrom="line">
                  <wp:posOffset>635</wp:posOffset>
                </wp:positionV>
                <wp:extent cx="6480175" cy="146685"/>
                <wp:effectExtent l="0" t="0" r="0" b="0"/>
                <wp:wrapNone/>
                <wp:docPr id="2" name="Frame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w:t>
                      </w:r>
                    </w:p>
                  </w:txbxContent>
                </v:textbox>
                <w10:wrap type="none"/>
              </v:rect>
            </w:pict>
          </mc:Fallback>
        </mc:AlternateContent>
      </w:r>
    </w:p>
    <w:p>
      <w:pPr>
        <w:pStyle w:val="TextBody"/>
        <w:bidi w:val="0"/>
        <w:spacing w:lineRule="auto" w:line="288" w:before="160" w:after="160"/>
        <w:jc w:val="left"/>
        <w:rPr/>
      </w:pPr>
      <w:hyperlink w:anchor="i0388035fcf6a4f6ca5f569f2895a7d6a_10">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PART I</w:t>
      </w:r>
    </w:p>
    <w:p>
      <w:pPr>
        <w:pStyle w:val="TextBody"/>
        <w:bidi w:val="0"/>
        <w:spacing w:before="0" w:after="0"/>
        <w:jc w:val="center"/>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Item 1. Financial Statements</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60"/>
        <w:jc w:val="center"/>
        <w:rPr/>
      </w:pPr>
      <w:r>
        <w:rPr/>
      </w:r>
    </w:p>
    <w:p>
      <w:pPr>
        <w:pStyle w:val="TextBody"/>
        <w:bidi w:val="0"/>
        <w:spacing w:lineRule="auto" w:line="288" w:before="0" w:after="60"/>
        <w:jc w:val="center"/>
        <w:rPr>
          <w:rFonts w:ascii="Times New Roman;serif" w:hAnsi="Times New Roman;serif"/>
          <w:b/>
          <w:color w:val="000000"/>
          <w:sz w:val="20"/>
        </w:rPr>
      </w:pPr>
      <w:r>
        <w:rPr>
          <w:rFonts w:ascii="Times New Roman;serif" w:hAnsi="Times New Roman;serif"/>
          <w:b/>
          <w:color w:val="000000"/>
          <w:sz w:val="20"/>
        </w:rPr>
        <w:t>Noodles &amp; Company</w:t>
      </w:r>
    </w:p>
    <w:p>
      <w:pPr>
        <w:pStyle w:val="TextBody"/>
        <w:bidi w:val="0"/>
        <w:spacing w:lineRule="auto" w:line="288" w:before="0" w:after="60"/>
        <w:jc w:val="center"/>
        <w:rPr>
          <w:rFonts w:ascii="Times New Roman;serif" w:hAnsi="Times New Roman;serif"/>
          <w:b/>
          <w:color w:val="000000"/>
          <w:sz w:val="20"/>
        </w:rPr>
      </w:pPr>
      <w:r>
        <w:rPr>
          <w:rFonts w:ascii="Times New Roman;serif" w:hAnsi="Times New Roman;serif"/>
          <w:b/>
          <w:color w:val="000000"/>
          <w:sz w:val="20"/>
        </w:rPr>
        <w:t>Condensed Consolidated Balance Sheets</w:t>
      </w:r>
    </w:p>
    <w:p>
      <w:pPr>
        <w:pStyle w:val="TextBody"/>
        <w:bidi w:val="0"/>
        <w:spacing w:lineRule="auto" w:line="288" w:before="0" w:after="60"/>
        <w:jc w:val="center"/>
        <w:rPr>
          <w:rFonts w:ascii="Times New Roman;serif" w:hAnsi="Times New Roman;serif"/>
          <w:b/>
          <w:color w:val="000000"/>
          <w:sz w:val="20"/>
        </w:rPr>
      </w:pPr>
      <w:r>
        <w:rPr>
          <w:rFonts w:ascii="Times New Roman;serif" w:hAnsi="Times New Roman;serif"/>
          <w:b/>
          <w:color w:val="000000"/>
          <w:sz w:val="20"/>
        </w:rPr>
        <w:t>(in thousands, except share and per share data)</w:t>
      </w:r>
    </w:p>
    <w:tbl>
      <w:tblPr>
        <w:tblW w:w="10205" w:type="dxa"/>
        <w:jc w:val="left"/>
        <w:tblInd w:w="0" w:type="dxa"/>
        <w:tblLayout w:type="fixed"/>
        <w:tblCellMar>
          <w:top w:w="28" w:type="dxa"/>
          <w:left w:w="28" w:type="dxa"/>
          <w:bottom w:w="28" w:type="dxa"/>
          <w:right w:w="28" w:type="dxa"/>
        </w:tblCellMar>
      </w:tblPr>
      <w:tblGrid>
        <w:gridCol w:w="2830"/>
        <w:gridCol w:w="2267"/>
        <w:gridCol w:w="2237"/>
        <w:gridCol w:w="109"/>
        <w:gridCol w:w="109"/>
        <w:gridCol w:w="109"/>
        <w:gridCol w:w="206"/>
        <w:gridCol w:w="774"/>
        <w:gridCol w:w="114"/>
        <w:gridCol w:w="109"/>
        <w:gridCol w:w="109"/>
        <w:gridCol w:w="109"/>
        <w:gridCol w:w="202"/>
        <w:gridCol w:w="758"/>
        <w:gridCol w:w="163"/>
      </w:tblGrid>
      <w:tr>
        <w:trPr/>
        <w:tc>
          <w:tcPr>
            <w:tcW w:w="2830" w:type="dxa"/>
            <w:tcBorders/>
            <w:vAlign w:val="center"/>
          </w:tcPr>
          <w:p>
            <w:pPr>
              <w:pStyle w:val="TableContents"/>
              <w:bidi w:val="0"/>
              <w:spacing w:before="0" w:after="283"/>
              <w:jc w:val="left"/>
              <w:rPr>
                <w:sz w:val="4"/>
                <w:szCs w:val="4"/>
              </w:rPr>
            </w:pPr>
            <w:r>
              <w:rPr>
                <w:sz w:val="4"/>
                <w:szCs w:val="4"/>
              </w:rPr>
            </w:r>
          </w:p>
        </w:tc>
        <w:tc>
          <w:tcPr>
            <w:tcW w:w="2267" w:type="dxa"/>
            <w:tcBorders/>
            <w:vAlign w:val="center"/>
          </w:tcPr>
          <w:p>
            <w:pPr>
              <w:pStyle w:val="TableContents"/>
              <w:bidi w:val="0"/>
              <w:spacing w:before="0" w:after="283"/>
              <w:jc w:val="left"/>
              <w:rPr>
                <w:sz w:val="4"/>
                <w:szCs w:val="4"/>
              </w:rPr>
            </w:pPr>
            <w:r>
              <w:rPr>
                <w:sz w:val="4"/>
                <w:szCs w:val="4"/>
              </w:rPr>
            </w:r>
          </w:p>
        </w:tc>
        <w:tc>
          <w:tcPr>
            <w:tcW w:w="223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6" w:type="dxa"/>
            <w:tcBorders/>
            <w:vAlign w:val="center"/>
          </w:tcPr>
          <w:p>
            <w:pPr>
              <w:pStyle w:val="TableContents"/>
              <w:bidi w:val="0"/>
              <w:spacing w:before="0" w:after="283"/>
              <w:jc w:val="left"/>
              <w:rPr>
                <w:sz w:val="4"/>
                <w:szCs w:val="4"/>
              </w:rPr>
            </w:pPr>
            <w:r>
              <w:rPr>
                <w:sz w:val="4"/>
                <w:szCs w:val="4"/>
              </w:rPr>
            </w:r>
          </w:p>
        </w:tc>
        <w:tc>
          <w:tcPr>
            <w:tcW w:w="77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2" w:type="dxa"/>
            <w:tcBorders/>
            <w:vAlign w:val="center"/>
          </w:tcPr>
          <w:p>
            <w:pPr>
              <w:pStyle w:val="TableContents"/>
              <w:bidi w:val="0"/>
              <w:spacing w:before="0" w:after="283"/>
              <w:jc w:val="left"/>
              <w:rPr>
                <w:sz w:val="4"/>
                <w:szCs w:val="4"/>
              </w:rPr>
            </w:pPr>
            <w:r>
              <w:rPr>
                <w:sz w:val="4"/>
                <w:szCs w:val="4"/>
              </w:rPr>
            </w:r>
          </w:p>
        </w:tc>
        <w:tc>
          <w:tcPr>
            <w:tcW w:w="758"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73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September 30,</w:t>
              <w:b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December 31,</w:t>
              <w:br/>
              <w:t>2024</w:t>
            </w:r>
          </w:p>
        </w:tc>
      </w:tr>
      <w:tr>
        <w:trPr/>
        <w:tc>
          <w:tcPr>
            <w:tcW w:w="7334"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(unaudited)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r>
      <w:tr>
        <w:trPr/>
        <w:tc>
          <w:tcPr>
            <w:tcW w:w="733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Assets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4"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3"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r>
      <w:tr>
        <w:trPr/>
        <w:tc>
          <w:tcPr>
            <w:tcW w:w="733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Current assets: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4"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3"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r>
      <w:tr>
        <w:trPr/>
        <w:tc>
          <w:tcPr>
            <w:tcW w:w="73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Cash and cash equivalents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7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4,694 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2"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5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1,149 </w:t>
            </w:r>
          </w:p>
        </w:tc>
        <w:tc>
          <w:tcPr>
            <w:tcW w:w="16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Accounts receivable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4,109 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4,058 </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Inventories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10,409 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10,500 </w:t>
            </w:r>
          </w:p>
        </w:tc>
        <w:tc>
          <w:tcPr>
            <w:tcW w:w="16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Prepaid expenses and other assets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4,271 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4,156 </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Income tax receivable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336 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329 </w:t>
            </w:r>
          </w:p>
        </w:tc>
        <w:tc>
          <w:tcPr>
            <w:tcW w:w="16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 current assets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23,819 </w:t>
            </w:r>
          </w:p>
        </w:tc>
        <w:tc>
          <w:tcPr>
            <w:tcW w:w="11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20,192 </w:t>
            </w:r>
          </w:p>
        </w:tc>
        <w:tc>
          <w:tcPr>
            <w:tcW w:w="16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Property and equipment, net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114,478 </w:t>
            </w:r>
          </w:p>
        </w:tc>
        <w:tc>
          <w:tcPr>
            <w:tcW w:w="11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137,237 </w:t>
            </w:r>
          </w:p>
        </w:tc>
        <w:tc>
          <w:tcPr>
            <w:tcW w:w="16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Operating lease assets, net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133,134 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157,821 </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Goodwill</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7,154 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7,154 </w:t>
            </w:r>
          </w:p>
        </w:tc>
        <w:tc>
          <w:tcPr>
            <w:tcW w:w="16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Intangibles, net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426 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495 </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Other assets, net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1,561 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1,749 </w:t>
            </w:r>
          </w:p>
        </w:tc>
        <w:tc>
          <w:tcPr>
            <w:tcW w:w="16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 long-term assets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256,753 </w:t>
            </w:r>
          </w:p>
        </w:tc>
        <w:tc>
          <w:tcPr>
            <w:tcW w:w="11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304,456 </w:t>
            </w:r>
          </w:p>
        </w:tc>
        <w:tc>
          <w:tcPr>
            <w:tcW w:w="16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 assets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7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280,572 </w:t>
            </w:r>
          </w:p>
        </w:tc>
        <w:tc>
          <w:tcPr>
            <w:tcW w:w="11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5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324,648 </w:t>
            </w:r>
          </w:p>
        </w:tc>
        <w:tc>
          <w:tcPr>
            <w:tcW w:w="16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3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color w:val="000000"/>
                <w:sz w:val="18"/>
              </w:rPr>
            </w:pPr>
            <w:r>
              <w:rPr>
                <w:rFonts w:ascii="Times New Roman;serif" w:hAnsi="Times New Roman;serif"/>
                <w:b/>
                <w:color w:val="000000"/>
                <w:sz w:val="18"/>
              </w:rPr>
              <w:t>Liabilities and Stockholders’ Deficit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4" w:type="dxa"/>
            <w:gridSpan w:val="3"/>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3" w:type="dxa"/>
            <w:gridSpan w:val="3"/>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r>
      <w:tr>
        <w:trPr/>
        <w:tc>
          <w:tcPr>
            <w:tcW w:w="73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Current liabilities: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r>
      <w:tr>
        <w:trPr/>
        <w:tc>
          <w:tcPr>
            <w:tcW w:w="73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Accounts payable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7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18,792 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5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13,194 </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Accrued payroll and benefits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10,138 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7,632 </w:t>
            </w:r>
          </w:p>
        </w:tc>
        <w:tc>
          <w:tcPr>
            <w:tcW w:w="16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Accrued expenses and other current liabilities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11,992 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12,836 </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Current operating lease liabilities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29,728 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32,055 </w:t>
            </w:r>
          </w:p>
        </w:tc>
        <w:tc>
          <w:tcPr>
            <w:tcW w:w="16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3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3" w:type="dxa"/>
            <w:gridSpan w:val="3"/>
            <w:tcBorders/>
            <w:vAlign w:val="center"/>
          </w:tcPr>
          <w:p>
            <w:pPr>
              <w:pStyle w:val="TableContents"/>
              <w:bidi w:val="0"/>
              <w:spacing w:before="0" w:after="283"/>
              <w:jc w:val="left"/>
              <w:rPr>
                <w:sz w:val="4"/>
                <w:szCs w:val="4"/>
              </w:rPr>
            </w:pPr>
            <w:r>
              <w:rPr>
                <w:sz w:val="4"/>
                <w:szCs w:val="4"/>
              </w:rPr>
            </w:r>
          </w:p>
        </w:tc>
      </w:tr>
      <w:tr>
        <w:trPr/>
        <w:tc>
          <w:tcPr>
            <w:tcW w:w="73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 current liabilities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70,650 </w:t>
            </w:r>
          </w:p>
        </w:tc>
        <w:tc>
          <w:tcPr>
            <w:tcW w:w="11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65,717 </w:t>
            </w:r>
          </w:p>
        </w:tc>
        <w:tc>
          <w:tcPr>
            <w:tcW w:w="16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Long-term debt, net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108,158 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100,742 </w:t>
            </w:r>
          </w:p>
        </w:tc>
        <w:tc>
          <w:tcPr>
            <w:tcW w:w="16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Long-term operating lease liabilities, net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130,872 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156,723 </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Deferred tax liabilities, net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325 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276 </w:t>
            </w:r>
          </w:p>
        </w:tc>
        <w:tc>
          <w:tcPr>
            <w:tcW w:w="16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Other long-term liabilities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9,466 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6,769 </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 liabilities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319,471 </w:t>
            </w:r>
          </w:p>
        </w:tc>
        <w:tc>
          <w:tcPr>
            <w:tcW w:w="11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330,227 </w:t>
            </w:r>
          </w:p>
        </w:tc>
        <w:tc>
          <w:tcPr>
            <w:tcW w:w="16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3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4"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3"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3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Stockholders’ deficit: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r>
      <w:tr>
        <w:trPr/>
        <w:tc>
          <w:tcPr>
            <w:tcW w:w="733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Preferred stock—$0.01 par value, 1,000,000 shares authorized and undesignated as of September 30, 2025 and December 31, 2024; no shares issued or outstanding</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3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Common stock—$0.01 par value, 180,000,000 shares authorized as of September 30, 2025 and December 31, 2024; 49,198,586 issued and 46,774,715 outstanding as of September 30, 2025 and 48,161,878 issued and 45,738,007 outstanding as of December 31, 2024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492 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482 </w:t>
            </w:r>
          </w:p>
        </w:tc>
        <w:tc>
          <w:tcPr>
            <w:tcW w:w="16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3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Treasury stock, at cost, 2,423,871 shares as of September 30, 2025 and December 31, 2024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(35,000)</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(35,000)</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Additional paid-in capital</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215,826 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213,396 </w:t>
            </w:r>
          </w:p>
        </w:tc>
        <w:tc>
          <w:tcPr>
            <w:tcW w:w="16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Accumulated deficit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(220,217)</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(184,457)</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3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Total stockholders’ deficit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(38,899)</w:t>
            </w:r>
          </w:p>
        </w:tc>
        <w:tc>
          <w:tcPr>
            <w:tcW w:w="11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(5,579)</w:t>
            </w:r>
          </w:p>
        </w:tc>
        <w:tc>
          <w:tcPr>
            <w:tcW w:w="16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3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Total liabilities and stockholders’ deficit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7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280,572 </w:t>
            </w:r>
          </w:p>
        </w:tc>
        <w:tc>
          <w:tcPr>
            <w:tcW w:w="11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5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324,648 </w:t>
            </w:r>
          </w:p>
        </w:tc>
        <w:tc>
          <w:tcPr>
            <w:tcW w:w="16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ind w:left="0" w:right="0" w:firstLine="360"/>
        <w:jc w:val="center"/>
        <w:rPr/>
      </w:pPr>
      <w:r>
        <w:rPr>
          <w:color w:val="000000"/>
        </w:rPr>
        <w:t>   </w:t>
      </w:r>
      <w:r>
        <w:rPr>
          <w:rFonts w:ascii="Times New Roman;serif" w:hAnsi="Times New Roman;serif"/>
          <w:b w:val="false"/>
          <w:i/>
          <w:color w:val="000000"/>
          <w:sz w:val="18"/>
        </w:rPr>
        <w:t>See accompanying notes to condensed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
                <wp:simplePos x="0" y="0"/>
                <wp:positionH relativeFrom="character">
                  <wp:align>left</wp:align>
                </wp:positionH>
                <wp:positionV relativeFrom="line">
                  <wp:posOffset>635</wp:posOffset>
                </wp:positionV>
                <wp:extent cx="6480175" cy="146685"/>
                <wp:effectExtent l="0" t="0" r="0" b="0"/>
                <wp:wrapNone/>
                <wp:docPr id="3" name="Frame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w:t>
                      </w:r>
                    </w:p>
                  </w:txbxContent>
                </v:textbox>
                <w10:wrap type="none"/>
              </v:rect>
            </w:pict>
          </mc:Fallback>
        </mc:AlternateContent>
      </w:r>
    </w:p>
    <w:p>
      <w:pPr>
        <w:pStyle w:val="TextBody"/>
        <w:bidi w:val="0"/>
        <w:spacing w:lineRule="auto" w:line="288" w:before="160" w:after="160"/>
        <w:jc w:val="left"/>
        <w:rPr/>
      </w:pPr>
      <w:hyperlink w:anchor="i0388035fcf6a4f6ca5f569f2895a7d6a_10">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60"/>
        <w:jc w:val="center"/>
        <w:rPr>
          <w:rFonts w:ascii="Times New Roman;serif" w:hAnsi="Times New Roman;serif"/>
          <w:b/>
          <w:color w:val="000000"/>
          <w:sz w:val="20"/>
        </w:rPr>
      </w:pPr>
      <w:r>
        <w:rPr>
          <w:rFonts w:ascii="Times New Roman;serif" w:hAnsi="Times New Roman;serif"/>
          <w:b/>
          <w:color w:val="000000"/>
          <w:sz w:val="20"/>
        </w:rPr>
        <w:t>Noodles &amp; Company</w:t>
      </w:r>
    </w:p>
    <w:p>
      <w:pPr>
        <w:pStyle w:val="TextBody"/>
        <w:bidi w:val="0"/>
        <w:spacing w:lineRule="auto" w:line="288" w:before="0" w:after="60"/>
        <w:jc w:val="center"/>
        <w:rPr>
          <w:rFonts w:ascii="Times New Roman;serif" w:hAnsi="Times New Roman;serif"/>
          <w:b/>
          <w:color w:val="000000"/>
          <w:sz w:val="20"/>
        </w:rPr>
      </w:pPr>
      <w:r>
        <w:rPr>
          <w:rFonts w:ascii="Times New Roman;serif" w:hAnsi="Times New Roman;serif"/>
          <w:b/>
          <w:color w:val="000000"/>
          <w:sz w:val="20"/>
        </w:rPr>
        <w:t>Condensed Consolidated Statements of Operations</w:t>
      </w:r>
    </w:p>
    <w:p>
      <w:pPr>
        <w:pStyle w:val="TextBody"/>
        <w:bidi w:val="0"/>
        <w:spacing w:lineRule="auto" w:line="288" w:before="0" w:after="60"/>
        <w:jc w:val="center"/>
        <w:rPr>
          <w:rFonts w:ascii="Times New Roman;serif" w:hAnsi="Times New Roman;serif"/>
          <w:b/>
          <w:color w:val="000000"/>
          <w:sz w:val="20"/>
        </w:rPr>
      </w:pPr>
      <w:r>
        <w:rPr>
          <w:rFonts w:ascii="Times New Roman;serif" w:hAnsi="Times New Roman;serif"/>
          <w:b/>
          <w:color w:val="000000"/>
          <w:sz w:val="20"/>
        </w:rPr>
        <w:t>(in thousands, except share and per share data, unaudited)</w:t>
      </w:r>
    </w:p>
    <w:tbl>
      <w:tblPr>
        <w:tblW w:w="10205" w:type="dxa"/>
        <w:jc w:val="center"/>
        <w:tblInd w:w="0" w:type="dxa"/>
        <w:tblLayout w:type="fixed"/>
        <w:tblCellMar>
          <w:top w:w="28" w:type="dxa"/>
          <w:left w:w="28" w:type="dxa"/>
          <w:bottom w:w="28" w:type="dxa"/>
          <w:right w:w="28" w:type="dxa"/>
        </w:tblCellMar>
      </w:tblPr>
      <w:tblGrid>
        <w:gridCol w:w="1592"/>
        <w:gridCol w:w="1246"/>
        <w:gridCol w:w="1253"/>
        <w:gridCol w:w="109"/>
        <w:gridCol w:w="109"/>
        <w:gridCol w:w="109"/>
        <w:gridCol w:w="219"/>
        <w:gridCol w:w="862"/>
        <w:gridCol w:w="109"/>
        <w:gridCol w:w="109"/>
        <w:gridCol w:w="109"/>
        <w:gridCol w:w="109"/>
        <w:gridCol w:w="219"/>
        <w:gridCol w:w="862"/>
        <w:gridCol w:w="109"/>
        <w:gridCol w:w="109"/>
        <w:gridCol w:w="109"/>
        <w:gridCol w:w="109"/>
        <w:gridCol w:w="219"/>
        <w:gridCol w:w="862"/>
        <w:gridCol w:w="109"/>
        <w:gridCol w:w="109"/>
        <w:gridCol w:w="109"/>
        <w:gridCol w:w="109"/>
        <w:gridCol w:w="219"/>
        <w:gridCol w:w="862"/>
        <w:gridCol w:w="155"/>
      </w:tblGrid>
      <w:tr>
        <w:trPr/>
        <w:tc>
          <w:tcPr>
            <w:tcW w:w="1592" w:type="dxa"/>
            <w:tcBorders/>
            <w:vAlign w:val="center"/>
          </w:tcPr>
          <w:p>
            <w:pPr>
              <w:pStyle w:val="TableContents"/>
              <w:bidi w:val="0"/>
              <w:spacing w:before="0" w:after="283"/>
              <w:jc w:val="left"/>
              <w:rPr>
                <w:sz w:val="4"/>
                <w:szCs w:val="4"/>
              </w:rPr>
            </w:pPr>
            <w:r>
              <w:rPr>
                <w:sz w:val="4"/>
                <w:szCs w:val="4"/>
              </w:rPr>
            </w:r>
          </w:p>
        </w:tc>
        <w:tc>
          <w:tcPr>
            <w:tcW w:w="1246" w:type="dxa"/>
            <w:tcBorders/>
            <w:vAlign w:val="center"/>
          </w:tcPr>
          <w:p>
            <w:pPr>
              <w:pStyle w:val="TableContents"/>
              <w:bidi w:val="0"/>
              <w:spacing w:before="0" w:after="283"/>
              <w:jc w:val="left"/>
              <w:rPr>
                <w:sz w:val="4"/>
                <w:szCs w:val="4"/>
              </w:rPr>
            </w:pPr>
            <w:r>
              <w:rPr>
                <w:sz w:val="4"/>
                <w:szCs w:val="4"/>
              </w:rPr>
            </w:r>
          </w:p>
        </w:tc>
        <w:tc>
          <w:tcPr>
            <w:tcW w:w="125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sz w:val="4"/>
                <w:szCs w:val="4"/>
              </w:rPr>
            </w:pPr>
            <w:r>
              <w:rPr>
                <w:sz w:val="4"/>
                <w:szCs w:val="4"/>
              </w:rPr>
            </w:r>
          </w:p>
        </w:tc>
        <w:tc>
          <w:tcPr>
            <w:tcW w:w="86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sz w:val="4"/>
                <w:szCs w:val="4"/>
              </w:rPr>
            </w:pPr>
            <w:r>
              <w:rPr>
                <w:sz w:val="4"/>
                <w:szCs w:val="4"/>
              </w:rPr>
            </w:r>
          </w:p>
        </w:tc>
        <w:tc>
          <w:tcPr>
            <w:tcW w:w="86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sz w:val="4"/>
                <w:szCs w:val="4"/>
              </w:rPr>
            </w:pPr>
            <w:r>
              <w:rPr>
                <w:sz w:val="4"/>
                <w:szCs w:val="4"/>
              </w:rPr>
            </w:r>
          </w:p>
        </w:tc>
        <w:tc>
          <w:tcPr>
            <w:tcW w:w="86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sz w:val="4"/>
                <w:szCs w:val="4"/>
              </w:rPr>
            </w:pPr>
            <w:r>
              <w:rPr>
                <w:sz w:val="4"/>
                <w:szCs w:val="4"/>
              </w:rPr>
            </w:r>
          </w:p>
        </w:tc>
        <w:tc>
          <w:tcPr>
            <w:tcW w:w="862"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4091"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07"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Fiscal Quarter Ended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53"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Three Fiscal Quarters Ended</w:t>
            </w:r>
          </w:p>
        </w:tc>
      </w:tr>
      <w:tr>
        <w:trPr/>
        <w:tc>
          <w:tcPr>
            <w:tcW w:w="4091"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September 30,</w:t>
              <w:b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October 1,</w:t>
              <w:b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September 30,</w:t>
              <w:b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October 1,</w:t>
              <w:br/>
              <w:t>2024</w:t>
            </w:r>
          </w:p>
        </w:tc>
      </w:tr>
      <w:tr>
        <w:trPr/>
        <w:tc>
          <w:tcPr>
            <w:tcW w:w="409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20"/>
              </w:rPr>
            </w:pPr>
            <w:r>
              <w:rPr>
                <w:rFonts w:ascii="Times New Roman;serif" w:hAnsi="Times New Roman;serif"/>
                <w:b w:val="false"/>
                <w:i/>
                <w:color w:val="000000"/>
                <w:sz w:val="20"/>
              </w:rPr>
              <w:t>Revenue: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9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Restaurant revenue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6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119,579 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6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120,163 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6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364,686 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6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363,897 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9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Franchising royalties and fees, and other</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2,507 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2,588 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7,627 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7,600 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9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revenue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122,086 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122,751 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372,313 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371,497 </w:t>
            </w:r>
          </w:p>
        </w:tc>
        <w:tc>
          <w:tcPr>
            <w:tcW w:w="15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9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20"/>
              </w:rPr>
            </w:pPr>
            <w:r>
              <w:rPr>
                <w:rFonts w:ascii="Times New Roman;serif" w:hAnsi="Times New Roman;serif"/>
                <w:b w:val="false"/>
                <w:i/>
                <w:color w:val="000000"/>
                <w:sz w:val="20"/>
              </w:rPr>
              <w:t>Costs and expenses: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9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Restaurant operating costs (exclusive of depreciation and amortization shown separately below):</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9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Cost of sales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30,709 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30,665 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95,862 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91,223 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9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Labor</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37,499 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38,423 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116,174 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115,791 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9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Occupancy</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11,076 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11,543 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33,963 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34,985 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9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restaurant operating costs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24,558 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24,124 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74,628 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71,514 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9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General and administrative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12,272 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12,892 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37,486 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39,503 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9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Depreciation and amortization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6,604 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7,248 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20,833 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21,985 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9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Pre-opening</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1,422 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9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Restaurant impairments, closure costs and asset disposals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5,681 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2,202 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20,625 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15,488 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9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costs and expenses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128,405 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127,551 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399,797 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391,911 </w:t>
            </w:r>
          </w:p>
        </w:tc>
        <w:tc>
          <w:tcPr>
            <w:tcW w:w="15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9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Loss from operations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(6,319)</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(4,800)</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(27,484)</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(20,414)</w:t>
            </w:r>
          </w:p>
        </w:tc>
        <w:tc>
          <w:tcPr>
            <w:tcW w:w="15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36" w:type="dxa"/>
            <w:gridSpan w:val="3"/>
            <w:tcBorders/>
            <w:vAlign w:val="center"/>
          </w:tcPr>
          <w:p>
            <w:pPr>
              <w:pStyle w:val="TableContents"/>
              <w:bidi w:val="0"/>
              <w:spacing w:before="0" w:after="283"/>
              <w:jc w:val="left"/>
              <w:rPr>
                <w:sz w:val="4"/>
                <w:szCs w:val="4"/>
              </w:rPr>
            </w:pPr>
            <w:r>
              <w:rPr>
                <w:sz w:val="4"/>
                <w:szCs w:val="4"/>
              </w:rPr>
            </w:r>
          </w:p>
        </w:tc>
      </w:tr>
      <w:tr>
        <w:trPr/>
        <w:tc>
          <w:tcPr>
            <w:tcW w:w="409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expense, net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2,827 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2,082 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8,227 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6,058 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9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Loss before income taxes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(9,146)</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(6,882)</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(35,711)</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(26,472)</w:t>
            </w:r>
          </w:p>
        </w:tc>
        <w:tc>
          <w:tcPr>
            <w:tcW w:w="15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9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Provision for (benefit from) income taxes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9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loss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6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(9,151)</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6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(6,755)</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6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(35,760)</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6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(26,520)</w:t>
            </w:r>
          </w:p>
        </w:tc>
        <w:tc>
          <w:tcPr>
            <w:tcW w:w="15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9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Loss per Class A and Class B common stock, combined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3"/>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3"/>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9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Basic and diluted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6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(0.20)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6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(0.15)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6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(0.78)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6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(0.58)</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36" w:type="dxa"/>
            <w:gridSpan w:val="3"/>
            <w:tcBorders/>
            <w:vAlign w:val="center"/>
          </w:tcPr>
          <w:p>
            <w:pPr>
              <w:pStyle w:val="TableContents"/>
              <w:bidi w:val="0"/>
              <w:spacing w:before="0" w:after="283"/>
              <w:jc w:val="left"/>
              <w:rPr>
                <w:sz w:val="4"/>
                <w:szCs w:val="4"/>
              </w:rPr>
            </w:pPr>
            <w:r>
              <w:rPr>
                <w:sz w:val="4"/>
                <w:szCs w:val="4"/>
              </w:rPr>
            </w:r>
          </w:p>
        </w:tc>
      </w:tr>
      <w:tr>
        <w:trPr/>
        <w:tc>
          <w:tcPr>
            <w:tcW w:w="409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Weighted average shares of Class A and Class B common stock outstanding, combined: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9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Basic and diluted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46,458,845 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45,639,662 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46,134,976 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45,389,989 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36"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60"/>
        <w:jc w:val="center"/>
        <w:rPr>
          <w:rFonts w:ascii="Times New Roman;serif" w:hAnsi="Times New Roman;serif"/>
          <w:b w:val="false"/>
          <w:i/>
          <w:color w:val="000000"/>
          <w:sz w:val="20"/>
        </w:rPr>
      </w:pPr>
      <w:r>
        <w:rPr>
          <w:rFonts w:ascii="Times New Roman;serif" w:hAnsi="Times New Roman;serif"/>
          <w:b w:val="false"/>
          <w:i/>
          <w:color w:val="000000"/>
          <w:sz w:val="20"/>
        </w:rPr>
        <w:t>See accompanying notes to condensed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
                <wp:simplePos x="0" y="0"/>
                <wp:positionH relativeFrom="character">
                  <wp:align>left</wp:align>
                </wp:positionH>
                <wp:positionV relativeFrom="line">
                  <wp:posOffset>635</wp:posOffset>
                </wp:positionV>
                <wp:extent cx="6480175" cy="146685"/>
                <wp:effectExtent l="0" t="0" r="0" b="0"/>
                <wp:wrapNone/>
                <wp:docPr id="4" name="Frame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w:t>
                      </w:r>
                    </w:p>
                  </w:txbxContent>
                </v:textbox>
                <w10:wrap type="none"/>
              </v:rect>
            </w:pict>
          </mc:Fallback>
        </mc:AlternateContent>
      </w:r>
    </w:p>
    <w:p>
      <w:pPr>
        <w:pStyle w:val="TextBody"/>
        <w:bidi w:val="0"/>
        <w:spacing w:lineRule="auto" w:line="288" w:before="160" w:after="160"/>
        <w:jc w:val="left"/>
        <w:rPr/>
      </w:pPr>
      <w:hyperlink w:anchor="i0388035fcf6a4f6ca5f569f2895a7d6a_10">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60"/>
        <w:jc w:val="center"/>
        <w:rPr>
          <w:rFonts w:ascii="Times New Roman;serif" w:hAnsi="Times New Roman;serif"/>
          <w:b/>
          <w:color w:val="000000"/>
          <w:sz w:val="16"/>
        </w:rPr>
      </w:pPr>
      <w:r>
        <w:rPr>
          <w:rFonts w:ascii="Times New Roman;serif" w:hAnsi="Times New Roman;serif"/>
          <w:b/>
          <w:color w:val="000000"/>
          <w:sz w:val="16"/>
        </w:rPr>
        <w:t>Noodles &amp; Company</w:t>
      </w:r>
    </w:p>
    <w:p>
      <w:pPr>
        <w:pStyle w:val="TextBody"/>
        <w:bidi w:val="0"/>
        <w:spacing w:lineRule="auto" w:line="288" w:before="0" w:after="60"/>
        <w:jc w:val="center"/>
        <w:rPr>
          <w:rFonts w:ascii="Times New Roman;serif" w:hAnsi="Times New Roman;serif"/>
          <w:b/>
          <w:color w:val="000000"/>
          <w:sz w:val="16"/>
        </w:rPr>
      </w:pPr>
      <w:r>
        <w:rPr>
          <w:rFonts w:ascii="Times New Roman;serif" w:hAnsi="Times New Roman;serif"/>
          <w:b/>
          <w:color w:val="000000"/>
          <w:sz w:val="16"/>
        </w:rPr>
        <w:t>Condensed Consolidated Statements of Stockholders’ Equity (Deficit)</w:t>
      </w:r>
    </w:p>
    <w:p>
      <w:pPr>
        <w:pStyle w:val="TextBody"/>
        <w:bidi w:val="0"/>
        <w:spacing w:lineRule="auto" w:line="288" w:before="0" w:after="60"/>
        <w:jc w:val="center"/>
        <w:rPr>
          <w:rFonts w:ascii="Times New Roman;serif" w:hAnsi="Times New Roman;serif"/>
          <w:b/>
          <w:color w:val="000000"/>
          <w:sz w:val="16"/>
        </w:rPr>
      </w:pPr>
      <w:r>
        <w:rPr>
          <w:rFonts w:ascii="Times New Roman;serif" w:hAnsi="Times New Roman;serif"/>
          <w:b/>
          <w:color w:val="000000"/>
          <w:sz w:val="16"/>
        </w:rPr>
        <w:t>(in thousands, except share data, unaudited)</w:t>
      </w:r>
    </w:p>
    <w:tbl>
      <w:tblPr>
        <w:tblW w:w="10464" w:type="dxa"/>
        <w:jc w:val="center"/>
        <w:tblInd w:w="0" w:type="dxa"/>
        <w:tblLayout w:type="fixed"/>
        <w:tblCellMar>
          <w:top w:w="28" w:type="dxa"/>
          <w:left w:w="28" w:type="dxa"/>
          <w:bottom w:w="28" w:type="dxa"/>
          <w:right w:w="28" w:type="dxa"/>
        </w:tblCellMar>
      </w:tblPr>
      <w:tblGrid>
        <w:gridCol w:w="554"/>
        <w:gridCol w:w="263"/>
        <w:gridCol w:w="264"/>
        <w:gridCol w:w="109"/>
        <w:gridCol w:w="109"/>
        <w:gridCol w:w="109"/>
        <w:gridCol w:w="480"/>
        <w:gridCol w:w="481"/>
        <w:gridCol w:w="196"/>
        <w:gridCol w:w="109"/>
        <w:gridCol w:w="109"/>
        <w:gridCol w:w="109"/>
        <w:gridCol w:w="196"/>
        <w:gridCol w:w="421"/>
        <w:gridCol w:w="109"/>
        <w:gridCol w:w="109"/>
        <w:gridCol w:w="109"/>
        <w:gridCol w:w="109"/>
        <w:gridCol w:w="435"/>
        <w:gridCol w:w="436"/>
        <w:gridCol w:w="196"/>
        <w:gridCol w:w="109"/>
        <w:gridCol w:w="109"/>
        <w:gridCol w:w="109"/>
        <w:gridCol w:w="196"/>
        <w:gridCol w:w="661"/>
        <w:gridCol w:w="109"/>
        <w:gridCol w:w="109"/>
        <w:gridCol w:w="109"/>
        <w:gridCol w:w="109"/>
        <w:gridCol w:w="196"/>
        <w:gridCol w:w="736"/>
        <w:gridCol w:w="109"/>
        <w:gridCol w:w="109"/>
        <w:gridCol w:w="109"/>
        <w:gridCol w:w="109"/>
        <w:gridCol w:w="196"/>
        <w:gridCol w:w="751"/>
        <w:gridCol w:w="109"/>
        <w:gridCol w:w="109"/>
        <w:gridCol w:w="109"/>
        <w:gridCol w:w="109"/>
        <w:gridCol w:w="209"/>
        <w:gridCol w:w="706"/>
        <w:gridCol w:w="166"/>
      </w:tblGrid>
      <w:tr>
        <w:trPr/>
        <w:tc>
          <w:tcPr>
            <w:tcW w:w="554"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c>
          <w:tcPr>
            <w:tcW w:w="26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80" w:type="dxa"/>
            <w:tcBorders/>
            <w:vAlign w:val="center"/>
          </w:tcPr>
          <w:p>
            <w:pPr>
              <w:pStyle w:val="TableContents"/>
              <w:bidi w:val="0"/>
              <w:spacing w:before="0" w:after="283"/>
              <w:jc w:val="left"/>
              <w:rPr>
                <w:sz w:val="4"/>
                <w:szCs w:val="4"/>
              </w:rPr>
            </w:pPr>
            <w:r>
              <w:rPr>
                <w:sz w:val="4"/>
                <w:szCs w:val="4"/>
              </w:rPr>
            </w:r>
          </w:p>
        </w:tc>
        <w:tc>
          <w:tcPr>
            <w:tcW w:w="481"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35" w:type="dxa"/>
            <w:tcBorders/>
            <w:vAlign w:val="center"/>
          </w:tcPr>
          <w:p>
            <w:pPr>
              <w:pStyle w:val="TableContents"/>
              <w:bidi w:val="0"/>
              <w:spacing w:before="0" w:after="283"/>
              <w:jc w:val="left"/>
              <w:rPr>
                <w:sz w:val="4"/>
                <w:szCs w:val="4"/>
              </w:rPr>
            </w:pPr>
            <w:r>
              <w:rPr>
                <w:sz w:val="4"/>
                <w:szCs w:val="4"/>
              </w:rPr>
            </w:r>
          </w:p>
        </w:tc>
        <w:tc>
          <w:tcPr>
            <w:tcW w:w="43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9" w:type="dxa"/>
            <w:tcBorders/>
            <w:vAlign w:val="center"/>
          </w:tcPr>
          <w:p>
            <w:pPr>
              <w:pStyle w:val="TableContents"/>
              <w:bidi w:val="0"/>
              <w:spacing w:before="0" w:after="283"/>
              <w:jc w:val="left"/>
              <w:rPr>
                <w:sz w:val="4"/>
                <w:szCs w:val="4"/>
              </w:rPr>
            </w:pPr>
            <w:r>
              <w:rPr>
                <w:sz w:val="4"/>
                <w:szCs w:val="4"/>
              </w:rPr>
            </w:r>
          </w:p>
        </w:tc>
        <w:tc>
          <w:tcPr>
            <w:tcW w:w="70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r>
      <w:tr>
        <w:trPr/>
        <w:tc>
          <w:tcPr>
            <w:tcW w:w="10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56" w:type="dxa"/>
            <w:gridSpan w:val="3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Fiscal Quarter Ended</w:t>
            </w:r>
          </w:p>
        </w:tc>
      </w:tr>
      <w:tr>
        <w:trPr/>
        <w:tc>
          <w:tcPr>
            <w:tcW w:w="1081"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0"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pPr>
            <w:r>
              <w:rPr>
                <w:rFonts w:ascii="Times New Roman;serif" w:hAnsi="Times New Roman;serif"/>
                <w:b/>
                <w:color w:val="000000"/>
                <w:sz w:val="16"/>
              </w:rPr>
              <w:t>Common Stock</w:t>
            </w:r>
            <w:r>
              <w:rPr>
                <w:rFonts w:ascii="Times New Roman;serif" w:hAnsi="Times New Roman;serif"/>
                <w:b/>
                <w:color w:val="000000"/>
                <w:sz w:val="10"/>
              </w:rPr>
              <w:t>(1)</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60"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Treasury</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vMerge w:val="restart"/>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r>
              <w:rPr>
                <w:rFonts w:ascii="Times New Roman;serif" w:hAnsi="Times New Roman;serif"/>
                <w:b/>
                <w:color w:val="000000"/>
                <w:sz w:val="16"/>
              </w:rPr>
              <w:t>Additional Paid-In</w:t>
              <w:br/>
              <w:t>Capital</w:t>
            </w:r>
          </w:p>
        </w:tc>
        <w:tc>
          <w:tcPr>
            <w:tcW w:w="327" w:type="dxa"/>
            <w:gridSpan w:val="3"/>
            <w:vMerge w:val="restart"/>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vMerge w:val="restart"/>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Accumulated</w:t>
              <w:br/>
              <w:t>Deficit</w:t>
            </w:r>
          </w:p>
        </w:tc>
        <w:tc>
          <w:tcPr>
            <w:tcW w:w="327" w:type="dxa"/>
            <w:gridSpan w:val="3"/>
            <w:vMerge w:val="restart"/>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3"/>
            <w:vMerge w:val="restart"/>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6"/>
              </w:rPr>
            </w:pPr>
            <w:r>
              <w:rPr>
                <w:rFonts w:ascii="Times New Roman;serif" w:hAnsi="Times New Roman;serif"/>
                <w:b/>
                <w:color w:val="000000"/>
                <w:sz w:val="16"/>
              </w:rPr>
              <w:t>Total</w:t>
            </w:r>
          </w:p>
          <w:p>
            <w:pPr>
              <w:pStyle w:val="TableContents"/>
              <w:bidi w:val="0"/>
              <w:spacing w:lineRule="auto" w:line="240" w:before="0" w:after="0"/>
              <w:jc w:val="center"/>
              <w:rPr>
                <w:rFonts w:ascii="Times New Roman;serif" w:hAnsi="Times New Roman;serif"/>
                <w:b/>
                <w:color w:val="000000"/>
                <w:sz w:val="16"/>
              </w:rPr>
            </w:pPr>
            <w:r>
              <w:rPr>
                <w:rFonts w:ascii="Times New Roman;serif" w:hAnsi="Times New Roman;serif"/>
                <w:b/>
                <w:color w:val="000000"/>
                <w:sz w:val="16"/>
              </w:rPr>
              <w:t>Stockholders’</w:t>
            </w:r>
          </w:p>
          <w:p>
            <w:pPr>
              <w:pStyle w:val="TableContents"/>
              <w:bidi w:val="0"/>
              <w:spacing w:lineRule="auto" w:line="240" w:before="0" w:after="0"/>
              <w:jc w:val="center"/>
              <w:rPr>
                <w:rFonts w:ascii="Times New Roman;serif" w:hAnsi="Times New Roman;serif"/>
                <w:b/>
                <w:color w:val="000000"/>
                <w:sz w:val="16"/>
              </w:rPr>
            </w:pPr>
            <w:r>
              <w:rPr>
                <w:rFonts w:ascii="Times New Roman;serif" w:hAnsi="Times New Roman;serif"/>
                <w:b/>
                <w:color w:val="000000"/>
                <w:sz w:val="16"/>
              </w:rPr>
              <w:t>Equity (Deficit)</w:t>
            </w:r>
          </w:p>
        </w:tc>
      </w:tr>
      <w:tr>
        <w:trPr/>
        <w:tc>
          <w:tcPr>
            <w:tcW w:w="1081"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Shares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Amount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Shares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Amount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vMerge w:val="continue"/>
            <w:tcBorders>
              <w:top w:val="single" w:sz="8" w:space="0" w:color="000000"/>
            </w:tcBorders>
            <w:tcMar>
              <w:top w:w="30" w:type="dxa"/>
              <w:left w:w="0" w:type="dxa"/>
              <w:bottom w:w="0" w:type="dxa"/>
              <w:right w:w="0" w:type="dxa"/>
            </w:tcMar>
            <w:vAlign w:val="center"/>
          </w:tcPr>
          <w:p>
            <w:pPr>
              <w:pStyle w:val="Normal"/>
              <w:bidi w:val="0"/>
              <w:jc w:val="left"/>
              <w:rPr/>
            </w:pPr>
            <w:r>
              <w:rPr/>
            </w:r>
          </w:p>
        </w:tc>
        <w:tc>
          <w:tcPr>
            <w:tcW w:w="327" w:type="dxa"/>
            <w:gridSpan w:val="3"/>
            <w:vMerge w:val="continue"/>
            <w:tcBorders>
              <w:top w:val="single" w:sz="8" w:space="0" w:color="000000"/>
            </w:tcBorders>
            <w:tcMar>
              <w:left w:w="0" w:type="dxa"/>
              <w:bottom w:w="0" w:type="dxa"/>
              <w:right w:w="0" w:type="dxa"/>
            </w:tcMar>
            <w:vAlign w:val="center"/>
          </w:tcPr>
          <w:p>
            <w:pPr>
              <w:pStyle w:val="Normal"/>
              <w:bidi w:val="0"/>
              <w:jc w:val="left"/>
              <w:rPr/>
            </w:pPr>
            <w:r>
              <w:rPr/>
            </w:r>
          </w:p>
        </w:tc>
        <w:tc>
          <w:tcPr>
            <w:tcW w:w="1056" w:type="dxa"/>
            <w:gridSpan w:val="3"/>
            <w:vMerge w:val="continue"/>
            <w:tcBorders>
              <w:top w:val="single" w:sz="8" w:space="0" w:color="000000"/>
            </w:tcBorders>
            <w:tcMar>
              <w:top w:w="30" w:type="dxa"/>
              <w:left w:w="0" w:type="dxa"/>
              <w:bottom w:w="0" w:type="dxa"/>
              <w:right w:w="0" w:type="dxa"/>
            </w:tcMar>
            <w:vAlign w:val="center"/>
          </w:tcPr>
          <w:p>
            <w:pPr>
              <w:pStyle w:val="Normal"/>
              <w:bidi w:val="0"/>
              <w:jc w:val="left"/>
              <w:rPr/>
            </w:pPr>
            <w:r>
              <w:rPr/>
            </w:r>
          </w:p>
        </w:tc>
        <w:tc>
          <w:tcPr>
            <w:tcW w:w="327" w:type="dxa"/>
            <w:gridSpan w:val="3"/>
            <w:vMerge w:val="continue"/>
            <w:tcBorders>
              <w:top w:val="single" w:sz="8" w:space="0" w:color="000000"/>
            </w:tcBorders>
            <w:tcMar>
              <w:left w:w="0" w:type="dxa"/>
              <w:bottom w:w="0" w:type="dxa"/>
              <w:right w:w="0" w:type="dxa"/>
            </w:tcMar>
            <w:vAlign w:val="center"/>
          </w:tcPr>
          <w:p>
            <w:pPr>
              <w:pStyle w:val="Normal"/>
              <w:bidi w:val="0"/>
              <w:jc w:val="left"/>
              <w:rPr/>
            </w:pPr>
            <w:r>
              <w:rPr/>
            </w:r>
          </w:p>
        </w:tc>
        <w:tc>
          <w:tcPr>
            <w:tcW w:w="1081" w:type="dxa"/>
            <w:gridSpan w:val="3"/>
            <w:vMerge w:val="continue"/>
            <w:tcBorders>
              <w:top w:val="single" w:sz="8" w:space="0" w:color="000000"/>
            </w:tcBorders>
            <w:tcMar>
              <w:top w:w="30" w:type="dxa"/>
              <w:left w:w="0" w:type="dxa"/>
              <w:bottom w:w="0" w:type="dxa"/>
              <w:right w:w="0" w:type="dxa"/>
            </w:tcMar>
            <w:vAlign w:val="center"/>
          </w:tcPr>
          <w:p>
            <w:pPr>
              <w:pStyle w:val="Normal"/>
              <w:bidi w:val="0"/>
              <w:jc w:val="left"/>
              <w:rPr/>
            </w:pPr>
            <w:r>
              <w:rPr/>
            </w:r>
          </w:p>
        </w:tc>
      </w:tr>
      <w:tr>
        <w:trPr/>
        <w:tc>
          <w:tcPr>
            <w:tcW w:w="108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Balance—July 1, 2025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48,851,879 </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4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489 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2,423,871 </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6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(35,000)</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214,802 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5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(211,066)</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0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(30,775)</w:t>
            </w:r>
          </w:p>
        </w:tc>
        <w:tc>
          <w:tcPr>
            <w:tcW w:w="16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8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Stock plan transactions and other</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346,707 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6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1" w:type="dxa"/>
            <w:gridSpan w:val="3"/>
            <w:tcBorders/>
            <w:vAlign w:val="center"/>
          </w:tcPr>
          <w:p>
            <w:pPr>
              <w:pStyle w:val="TableContents"/>
              <w:bidi w:val="0"/>
              <w:spacing w:before="0" w:after="283"/>
              <w:jc w:val="left"/>
              <w:rPr>
                <w:sz w:val="4"/>
                <w:szCs w:val="4"/>
              </w:rPr>
            </w:pPr>
            <w:r>
              <w:rPr>
                <w:sz w:val="4"/>
                <w:szCs w:val="4"/>
              </w:rPr>
            </w:r>
          </w:p>
        </w:tc>
      </w:tr>
      <w:tr>
        <w:trPr/>
        <w:tc>
          <w:tcPr>
            <w:tcW w:w="108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Stock-based compensation expense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1,110 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1,110 </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8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Net loss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(9,151)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(9,151)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8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Balance—September 30, 2025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49,198,586 </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4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492 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2,423,871 </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6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(35,000)</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215,826 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5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(220,217)</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0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(38,899)</w:t>
            </w:r>
          </w:p>
        </w:tc>
        <w:tc>
          <w:tcPr>
            <w:tcW w:w="16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8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Balance—July 2, 2024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48,047,131 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4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480 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2,423,871 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6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(35,000)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212,172 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5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(168,009)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0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9,643 </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8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Stock plan transactions and other</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55,502 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27 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8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Stock-based compensation expense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820 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820 </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8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Net loss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(6,755)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(6,755)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8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Balance—October 1, 2024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48,102,633 </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4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481 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2,423,871 </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6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(35,000)</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213,018 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5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(174,764)</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0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3,735 </w:t>
            </w:r>
          </w:p>
        </w:tc>
        <w:tc>
          <w:tcPr>
            <w:tcW w:w="16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56" w:type="dxa"/>
            <w:gridSpan w:val="39"/>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Three Fiscal Quarters Ended</w:t>
            </w:r>
          </w:p>
        </w:tc>
      </w:tr>
      <w:tr>
        <w:trPr/>
        <w:tc>
          <w:tcPr>
            <w:tcW w:w="10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0" w:type="dxa"/>
            <w:gridSpan w:val="9"/>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0"/>
              <w:jc w:val="center"/>
              <w:rPr/>
            </w:pPr>
            <w:r>
              <w:rPr>
                <w:rFonts w:ascii="Times New Roman;serif" w:hAnsi="Times New Roman;serif"/>
                <w:b/>
                <w:color w:val="000000"/>
                <w:sz w:val="16"/>
              </w:rPr>
              <w:t>Common Stock</w:t>
            </w:r>
            <w:r>
              <w:rPr>
                <w:rFonts w:ascii="Times New Roman;serif" w:hAnsi="Times New Roman;serif"/>
                <w:b/>
                <w:color w:val="000000"/>
                <w:sz w:val="10"/>
              </w:rPr>
              <w:t>(1)</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60" w:type="dxa"/>
            <w:gridSpan w:val="9"/>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Treasury</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vMerge w:val="restart"/>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r>
              <w:rPr>
                <w:rFonts w:ascii="Times New Roman;serif" w:hAnsi="Times New Roman;serif"/>
                <w:b/>
                <w:color w:val="000000"/>
                <w:sz w:val="16"/>
              </w:rPr>
              <w:t>Additional Paid-In</w:t>
              <w:br/>
              <w:t>Capital</w:t>
            </w:r>
          </w:p>
        </w:tc>
        <w:tc>
          <w:tcPr>
            <w:tcW w:w="327" w:type="dxa"/>
            <w:gridSpan w:val="3"/>
            <w:vMerge w:val="restart"/>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vMerge w:val="restart"/>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Accumulated</w:t>
              <w:br/>
              <w:t>Deficit</w:t>
            </w:r>
          </w:p>
        </w:tc>
        <w:tc>
          <w:tcPr>
            <w:tcW w:w="327" w:type="dxa"/>
            <w:gridSpan w:val="3"/>
            <w:vMerge w:val="restart"/>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3"/>
            <w:vMerge w:val="restart"/>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6"/>
              </w:rPr>
            </w:pPr>
            <w:r>
              <w:rPr>
                <w:rFonts w:ascii="Times New Roman;serif" w:hAnsi="Times New Roman;serif"/>
                <w:b/>
                <w:color w:val="000000"/>
                <w:sz w:val="16"/>
              </w:rPr>
              <w:t>Total</w:t>
            </w:r>
          </w:p>
          <w:p>
            <w:pPr>
              <w:pStyle w:val="TableContents"/>
              <w:bidi w:val="0"/>
              <w:spacing w:lineRule="auto" w:line="240" w:before="0" w:after="0"/>
              <w:jc w:val="center"/>
              <w:rPr>
                <w:rFonts w:ascii="Times New Roman;serif" w:hAnsi="Times New Roman;serif"/>
                <w:b/>
                <w:color w:val="000000"/>
                <w:sz w:val="16"/>
              </w:rPr>
            </w:pPr>
            <w:r>
              <w:rPr>
                <w:rFonts w:ascii="Times New Roman;serif" w:hAnsi="Times New Roman;serif"/>
                <w:b/>
                <w:color w:val="000000"/>
                <w:sz w:val="16"/>
              </w:rPr>
              <w:t>Stockholders’</w:t>
            </w:r>
          </w:p>
          <w:p>
            <w:pPr>
              <w:pStyle w:val="TableContents"/>
              <w:bidi w:val="0"/>
              <w:spacing w:lineRule="auto" w:line="240" w:before="0" w:after="0"/>
              <w:jc w:val="center"/>
              <w:rPr>
                <w:rFonts w:ascii="Times New Roman;serif" w:hAnsi="Times New Roman;serif"/>
                <w:b/>
                <w:color w:val="000000"/>
                <w:sz w:val="16"/>
              </w:rPr>
            </w:pPr>
            <w:r>
              <w:rPr>
                <w:rFonts w:ascii="Times New Roman;serif" w:hAnsi="Times New Roman;serif"/>
                <w:b/>
                <w:color w:val="000000"/>
                <w:sz w:val="16"/>
              </w:rPr>
              <w:t>Equity (Deficit)</w:t>
            </w:r>
          </w:p>
        </w:tc>
      </w:tr>
      <w:tr>
        <w:trPr/>
        <w:tc>
          <w:tcPr>
            <w:tcW w:w="10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Shares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Amount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Shares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Amount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vMerge w:val="continue"/>
            <w:tcBorders>
              <w:top w:val="single" w:sz="8" w:space="0" w:color="000000"/>
            </w:tcBorders>
            <w:shd w:fill="FFFFFF" w:val="clear"/>
            <w:tcMar>
              <w:top w:w="30" w:type="dxa"/>
              <w:left w:w="0" w:type="dxa"/>
              <w:bottom w:w="0" w:type="dxa"/>
              <w:right w:w="0" w:type="dxa"/>
            </w:tcMar>
            <w:vAlign w:val="center"/>
          </w:tcPr>
          <w:p>
            <w:pPr>
              <w:pStyle w:val="Normal"/>
              <w:bidi w:val="0"/>
              <w:jc w:val="left"/>
              <w:rPr/>
            </w:pPr>
            <w:r>
              <w:rPr/>
            </w:r>
          </w:p>
        </w:tc>
        <w:tc>
          <w:tcPr>
            <w:tcW w:w="327" w:type="dxa"/>
            <w:gridSpan w:val="3"/>
            <w:vMerge w:val="continue"/>
            <w:tcBorders>
              <w:top w:val="single" w:sz="8" w:space="0" w:color="000000"/>
            </w:tcBorders>
            <w:shd w:fill="FFFFFF" w:val="clear"/>
            <w:tcMar>
              <w:left w:w="0" w:type="dxa"/>
              <w:bottom w:w="0" w:type="dxa"/>
              <w:right w:w="0" w:type="dxa"/>
            </w:tcMar>
            <w:vAlign w:val="center"/>
          </w:tcPr>
          <w:p>
            <w:pPr>
              <w:pStyle w:val="Normal"/>
              <w:bidi w:val="0"/>
              <w:jc w:val="left"/>
              <w:rPr/>
            </w:pPr>
            <w:r>
              <w:rPr/>
            </w:r>
          </w:p>
        </w:tc>
        <w:tc>
          <w:tcPr>
            <w:tcW w:w="1056" w:type="dxa"/>
            <w:gridSpan w:val="3"/>
            <w:vMerge w:val="continue"/>
            <w:tcBorders>
              <w:top w:val="single" w:sz="8" w:space="0" w:color="000000"/>
            </w:tcBorders>
            <w:shd w:fill="FFFFFF" w:val="clear"/>
            <w:tcMar>
              <w:top w:w="30" w:type="dxa"/>
              <w:left w:w="0" w:type="dxa"/>
              <w:bottom w:w="0" w:type="dxa"/>
              <w:right w:w="0" w:type="dxa"/>
            </w:tcMar>
            <w:vAlign w:val="center"/>
          </w:tcPr>
          <w:p>
            <w:pPr>
              <w:pStyle w:val="Normal"/>
              <w:bidi w:val="0"/>
              <w:jc w:val="left"/>
              <w:rPr/>
            </w:pPr>
            <w:r>
              <w:rPr/>
            </w:r>
          </w:p>
        </w:tc>
        <w:tc>
          <w:tcPr>
            <w:tcW w:w="327" w:type="dxa"/>
            <w:gridSpan w:val="3"/>
            <w:vMerge w:val="continue"/>
            <w:tcBorders>
              <w:top w:val="single" w:sz="8" w:space="0" w:color="000000"/>
            </w:tcBorders>
            <w:shd w:fill="FFFFFF" w:val="clear"/>
            <w:tcMar>
              <w:left w:w="0" w:type="dxa"/>
              <w:bottom w:w="0" w:type="dxa"/>
              <w:right w:w="0" w:type="dxa"/>
            </w:tcMar>
            <w:vAlign w:val="center"/>
          </w:tcPr>
          <w:p>
            <w:pPr>
              <w:pStyle w:val="Normal"/>
              <w:bidi w:val="0"/>
              <w:jc w:val="left"/>
              <w:rPr/>
            </w:pPr>
            <w:r>
              <w:rPr/>
            </w:r>
          </w:p>
        </w:tc>
        <w:tc>
          <w:tcPr>
            <w:tcW w:w="1081" w:type="dxa"/>
            <w:gridSpan w:val="3"/>
            <w:vMerge w:val="continue"/>
            <w:tcBorders>
              <w:top w:val="single" w:sz="8" w:space="0" w:color="000000"/>
            </w:tcBorders>
            <w:shd w:fill="FFFFFF" w:val="clear"/>
            <w:tcMar>
              <w:top w:w="30" w:type="dxa"/>
              <w:left w:w="0" w:type="dxa"/>
              <w:bottom w:w="0" w:type="dxa"/>
              <w:right w:w="0" w:type="dxa"/>
            </w:tcMar>
            <w:vAlign w:val="center"/>
          </w:tcPr>
          <w:p>
            <w:pPr>
              <w:pStyle w:val="Normal"/>
              <w:bidi w:val="0"/>
              <w:jc w:val="left"/>
              <w:rPr/>
            </w:pPr>
            <w:r>
              <w:rPr/>
            </w:r>
          </w:p>
        </w:tc>
      </w:tr>
      <w:tr>
        <w:trPr/>
        <w:tc>
          <w:tcPr>
            <w:tcW w:w="108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Balance—December 31, 2024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48,161,878 </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4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482 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2,423,871 </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6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(35,000)</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213,396 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5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(184,457)</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0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(5,579)</w:t>
            </w:r>
          </w:p>
        </w:tc>
        <w:tc>
          <w:tcPr>
            <w:tcW w:w="16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8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Stock plan transactions and other</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1,036,708 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(183)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(173)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6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1" w:type="dxa"/>
            <w:gridSpan w:val="3"/>
            <w:tcBorders/>
            <w:vAlign w:val="center"/>
          </w:tcPr>
          <w:p>
            <w:pPr>
              <w:pStyle w:val="TableContents"/>
              <w:bidi w:val="0"/>
              <w:spacing w:before="0" w:after="283"/>
              <w:jc w:val="left"/>
              <w:rPr>
                <w:sz w:val="4"/>
                <w:szCs w:val="4"/>
              </w:rPr>
            </w:pPr>
            <w:r>
              <w:rPr>
                <w:sz w:val="4"/>
                <w:szCs w:val="4"/>
              </w:rPr>
            </w:r>
          </w:p>
        </w:tc>
      </w:tr>
      <w:tr>
        <w:trPr/>
        <w:tc>
          <w:tcPr>
            <w:tcW w:w="108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Stock-based compensation expense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2,613 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2,613 </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8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Net loss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(35,760)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(35,760)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8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Balance—September 30, 2025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49,198,586 </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4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492 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2,423,871 </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6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(35,000)</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215,826 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5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(220,217)</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0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(38,899)</w:t>
            </w:r>
          </w:p>
        </w:tc>
        <w:tc>
          <w:tcPr>
            <w:tcW w:w="16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8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Balance—January 2, 2024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47,413,585 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4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474 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2,423,871 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6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(35,000)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209,930 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5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(148,244)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0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27,160 </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8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Stock plan transactions and other</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689,048 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(231)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(224)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6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1" w:type="dxa"/>
            <w:gridSpan w:val="3"/>
            <w:tcBorders/>
            <w:vAlign w:val="center"/>
          </w:tcPr>
          <w:p>
            <w:pPr>
              <w:pStyle w:val="TableContents"/>
              <w:bidi w:val="0"/>
              <w:spacing w:before="0" w:after="283"/>
              <w:jc w:val="left"/>
              <w:rPr>
                <w:sz w:val="4"/>
                <w:szCs w:val="4"/>
              </w:rPr>
            </w:pPr>
            <w:r>
              <w:rPr>
                <w:sz w:val="4"/>
                <w:szCs w:val="4"/>
              </w:rPr>
            </w:r>
          </w:p>
        </w:tc>
      </w:tr>
      <w:tr>
        <w:trPr/>
        <w:tc>
          <w:tcPr>
            <w:tcW w:w="108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Stock-based compensation expense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3,319 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3,319 </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8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Net loss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(26,520)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(26,520)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8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Balance—October 1, 2024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48,102,633 </w:t>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4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481 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2,423,871 </w:t>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6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(35,000)</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213,018 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5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(174,764)</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0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3,735 </w:t>
            </w:r>
          </w:p>
        </w:tc>
        <w:tc>
          <w:tcPr>
            <w:tcW w:w="16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60"/>
        <w:jc w:val="left"/>
        <w:rPr>
          <w:rFonts w:ascii="Times New Roman;serif" w:hAnsi="Times New Roman;serif"/>
          <w:b w:val="false"/>
          <w:color w:val="000000"/>
          <w:sz w:val="16"/>
        </w:rPr>
      </w:pPr>
      <w:r>
        <w:rPr>
          <w:rFonts w:ascii="Times New Roman;serif" w:hAnsi="Times New Roman;serif"/>
          <w:b w:val="false"/>
          <w:color w:val="000000"/>
          <w:sz w:val="16"/>
        </w:rPr>
        <w:t>_____________</w:t>
      </w:r>
    </w:p>
    <w:p>
      <w:pPr>
        <w:pStyle w:val="TextBody"/>
        <w:bidi w:val="0"/>
        <w:spacing w:lineRule="auto" w:line="288" w:before="0" w:after="0"/>
        <w:ind w:left="0" w:right="0" w:hanging="720"/>
        <w:jc w:val="left"/>
        <w:rPr>
          <w:rFonts w:ascii="Times New Roman;serif" w:hAnsi="Times New Roman;serif"/>
          <w:b w:val="false"/>
          <w:color w:val="000000"/>
          <w:sz w:val="16"/>
        </w:rPr>
      </w:pPr>
      <w:r>
        <w:rPr>
          <w:rFonts w:ascii="Times New Roman;serif" w:hAnsi="Times New Roman;serif"/>
          <w:b w:val="false"/>
          <w:color w:val="000000"/>
          <w:sz w:val="16"/>
        </w:rPr>
        <w:t>(1)Unless otherwise noted, activity relates to Class A common stock.</w:t>
      </w:r>
    </w:p>
    <w:p>
      <w:pPr>
        <w:pStyle w:val="TextBody"/>
        <w:bidi w:val="0"/>
        <w:spacing w:before="0" w:after="0"/>
        <w:jc w:val="left"/>
        <w:rPr/>
      </w:pPr>
      <w:r>
        <w:rPr/>
      </w:r>
    </w:p>
    <w:p>
      <w:pPr>
        <w:pStyle w:val="TextBody"/>
        <w:bidi w:val="0"/>
        <w:spacing w:lineRule="auto" w:line="288" w:before="60" w:after="283"/>
        <w:jc w:val="center"/>
        <w:rPr>
          <w:rFonts w:ascii="Times New Roman;serif" w:hAnsi="Times New Roman;serif"/>
          <w:b w:val="false"/>
          <w:i/>
          <w:color w:val="000000"/>
          <w:sz w:val="16"/>
        </w:rPr>
      </w:pPr>
      <w:r>
        <w:rPr>
          <w:rFonts w:ascii="Times New Roman;serif" w:hAnsi="Times New Roman;serif"/>
          <w:b w:val="false"/>
          <w:i/>
          <w:color w:val="000000"/>
          <w:sz w:val="16"/>
        </w:rPr>
        <w:t>See accompanying notes to condensed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
                <wp:simplePos x="0" y="0"/>
                <wp:positionH relativeFrom="character">
                  <wp:align>left</wp:align>
                </wp:positionH>
                <wp:positionV relativeFrom="line">
                  <wp:posOffset>635</wp:posOffset>
                </wp:positionV>
                <wp:extent cx="6480175" cy="146685"/>
                <wp:effectExtent l="0" t="0" r="0" b="0"/>
                <wp:wrapNone/>
                <wp:docPr id="5" name="Frame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w:t>
                      </w:r>
                    </w:p>
                  </w:txbxContent>
                </v:textbox>
                <w10:wrap type="none"/>
              </v:rect>
            </w:pict>
          </mc:Fallback>
        </mc:AlternateContent>
      </w:r>
    </w:p>
    <w:p>
      <w:pPr>
        <w:pStyle w:val="TextBody"/>
        <w:bidi w:val="0"/>
        <w:spacing w:lineRule="auto" w:line="288" w:before="160" w:after="160"/>
        <w:jc w:val="left"/>
        <w:rPr/>
      </w:pPr>
      <w:hyperlink w:anchor="i0388035fcf6a4f6ca5f569f2895a7d6a_10">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60"/>
        <w:jc w:val="center"/>
        <w:rPr>
          <w:rFonts w:ascii="Times New Roman;serif" w:hAnsi="Times New Roman;serif"/>
          <w:b/>
          <w:color w:val="000000"/>
          <w:sz w:val="20"/>
        </w:rPr>
      </w:pPr>
      <w:r>
        <w:rPr>
          <w:rFonts w:ascii="Times New Roman;serif" w:hAnsi="Times New Roman;serif"/>
          <w:b/>
          <w:color w:val="000000"/>
          <w:sz w:val="20"/>
        </w:rPr>
        <w:t>Noodles &amp; Company</w:t>
      </w:r>
    </w:p>
    <w:p>
      <w:pPr>
        <w:pStyle w:val="TextBody"/>
        <w:bidi w:val="0"/>
        <w:spacing w:lineRule="auto" w:line="288" w:before="0" w:after="60"/>
        <w:jc w:val="center"/>
        <w:rPr>
          <w:rFonts w:ascii="Times New Roman;serif" w:hAnsi="Times New Roman;serif"/>
          <w:b/>
          <w:color w:val="000000"/>
          <w:sz w:val="20"/>
        </w:rPr>
      </w:pPr>
      <w:r>
        <w:rPr>
          <w:rFonts w:ascii="Times New Roman;serif" w:hAnsi="Times New Roman;serif"/>
          <w:b/>
          <w:color w:val="000000"/>
          <w:sz w:val="20"/>
        </w:rPr>
        <w:t>Condensed Consolidated Statements of Cash Flows</w:t>
      </w:r>
    </w:p>
    <w:p>
      <w:pPr>
        <w:pStyle w:val="TextBody"/>
        <w:bidi w:val="0"/>
        <w:spacing w:lineRule="auto" w:line="288" w:before="0" w:after="60"/>
        <w:jc w:val="center"/>
        <w:rPr>
          <w:rFonts w:ascii="Times New Roman;serif" w:hAnsi="Times New Roman;serif"/>
          <w:b/>
          <w:color w:val="000000"/>
          <w:sz w:val="20"/>
        </w:rPr>
      </w:pPr>
      <w:r>
        <w:rPr>
          <w:rFonts w:ascii="Times New Roman;serif" w:hAnsi="Times New Roman;serif"/>
          <w:b/>
          <w:color w:val="000000"/>
          <w:sz w:val="20"/>
        </w:rPr>
        <w:t>(in thousands, unaudited)</w:t>
      </w:r>
    </w:p>
    <w:tbl>
      <w:tblPr>
        <w:tblW w:w="9689" w:type="dxa"/>
        <w:jc w:val="center"/>
        <w:tblInd w:w="0" w:type="dxa"/>
        <w:tblLayout w:type="fixed"/>
        <w:tblCellMar>
          <w:top w:w="28" w:type="dxa"/>
          <w:left w:w="28" w:type="dxa"/>
          <w:bottom w:w="28" w:type="dxa"/>
          <w:right w:w="28" w:type="dxa"/>
        </w:tblCellMar>
      </w:tblPr>
      <w:tblGrid>
        <w:gridCol w:w="2440"/>
        <w:gridCol w:w="2140"/>
        <w:gridCol w:w="2155"/>
        <w:gridCol w:w="109"/>
        <w:gridCol w:w="109"/>
        <w:gridCol w:w="109"/>
        <w:gridCol w:w="215"/>
        <w:gridCol w:w="813"/>
        <w:gridCol w:w="111"/>
        <w:gridCol w:w="109"/>
        <w:gridCol w:w="109"/>
        <w:gridCol w:w="109"/>
        <w:gridCol w:w="211"/>
        <w:gridCol w:w="796"/>
        <w:gridCol w:w="154"/>
      </w:tblGrid>
      <w:tr>
        <w:trPr/>
        <w:tc>
          <w:tcPr>
            <w:tcW w:w="2440" w:type="dxa"/>
            <w:tcBorders/>
            <w:vAlign w:val="center"/>
          </w:tcPr>
          <w:p>
            <w:pPr>
              <w:pStyle w:val="TableContents"/>
              <w:bidi w:val="0"/>
              <w:spacing w:before="0" w:after="283"/>
              <w:jc w:val="left"/>
              <w:rPr>
                <w:sz w:val="4"/>
                <w:szCs w:val="4"/>
              </w:rPr>
            </w:pPr>
            <w:r>
              <w:rPr>
                <w:sz w:val="4"/>
                <w:szCs w:val="4"/>
              </w:rPr>
            </w:r>
          </w:p>
        </w:tc>
        <w:tc>
          <w:tcPr>
            <w:tcW w:w="2140" w:type="dxa"/>
            <w:tcBorders/>
            <w:vAlign w:val="center"/>
          </w:tcPr>
          <w:p>
            <w:pPr>
              <w:pStyle w:val="TableContents"/>
              <w:bidi w:val="0"/>
              <w:spacing w:before="0" w:after="283"/>
              <w:jc w:val="left"/>
              <w:rPr>
                <w:sz w:val="4"/>
                <w:szCs w:val="4"/>
              </w:rPr>
            </w:pPr>
            <w:r>
              <w:rPr>
                <w:sz w:val="4"/>
                <w:szCs w:val="4"/>
              </w:rPr>
            </w:r>
          </w:p>
        </w:tc>
        <w:tc>
          <w:tcPr>
            <w:tcW w:w="215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sz w:val="4"/>
                <w:szCs w:val="4"/>
              </w:rPr>
            </w:pPr>
            <w:r>
              <w:rPr>
                <w:sz w:val="4"/>
                <w:szCs w:val="4"/>
              </w:rPr>
            </w:r>
          </w:p>
        </w:tc>
        <w:tc>
          <w:tcPr>
            <w:tcW w:w="813"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735"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27"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Three Fiscal Quarters Ended</w:t>
            </w:r>
          </w:p>
        </w:tc>
      </w:tr>
      <w:tr>
        <w:trPr/>
        <w:tc>
          <w:tcPr>
            <w:tcW w:w="6735"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September 30,</w:t>
              <w:b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October 1,</w:t>
              <w:br/>
              <w:t>2024</w:t>
            </w:r>
          </w:p>
        </w:tc>
      </w:tr>
      <w:tr>
        <w:trPr/>
        <w:tc>
          <w:tcPr>
            <w:tcW w:w="67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Operating activities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r>
      <w:tr>
        <w:trPr/>
        <w:tc>
          <w:tcPr>
            <w:tcW w:w="67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loss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1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(35,760)</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(26,520)</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Adjustments to reconcile net loss to net cash provided by operating activities: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r>
      <w:tr>
        <w:trPr/>
        <w:tc>
          <w:tcPr>
            <w:tcW w:w="67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Depreciation and amortization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20,833 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21,985 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3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Deferred income taxes, net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49 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Restaurant impairments, closure costs and asset disposals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17,703 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11,357 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3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r>
      <w:tr>
        <w:trPr/>
        <w:tc>
          <w:tcPr>
            <w:tcW w:w="67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Amortization of debt issuance costs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658 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412 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Stock-based compensation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2,613 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3,276 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3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r>
      <w:tr>
        <w:trPr/>
        <w:tc>
          <w:tcPr>
            <w:tcW w:w="67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Changes in operating assets and liabilities: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r>
      <w:tr>
        <w:trPr/>
        <w:tc>
          <w:tcPr>
            <w:tcW w:w="67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Accounts receivable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(216)</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1,013 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Inventories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(383)</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(496)</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Prepaid expenses and other assets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(1,299)</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Accounts payable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6,353 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5,390 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Income taxes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lease assets and liabilities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(3,183)</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(1,044)</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Accrued expenses and other liabilities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(265)</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3,448 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cash provided by operating activities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8,357 </w:t>
            </w:r>
          </w:p>
        </w:tc>
        <w:tc>
          <w:tcPr>
            <w:tcW w:w="11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17,545 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Investing activities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9"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r>
      <w:tr>
        <w:trPr/>
        <w:tc>
          <w:tcPr>
            <w:tcW w:w="67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Purchases of property and equipment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(10,055)</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(24,974)</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3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r>
      <w:tr>
        <w:trPr/>
        <w:tc>
          <w:tcPr>
            <w:tcW w:w="673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Proceeds from refranchising transactions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2,053 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cash used in investing activities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(10,055)</w:t>
            </w:r>
          </w:p>
        </w:tc>
        <w:tc>
          <w:tcPr>
            <w:tcW w:w="11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(22,921)</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Financing activities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9"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r>
      <w:tr>
        <w:trPr/>
        <w:tc>
          <w:tcPr>
            <w:tcW w:w="673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Net payments from swing line loan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(6,592)</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(4,772)</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Proceeds from borrowings on long-term debt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13,350 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12,500 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3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r>
      <w:tr>
        <w:trPr/>
        <w:tc>
          <w:tcPr>
            <w:tcW w:w="67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Payments on finance leases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(1,342)</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(1,833)</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3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r>
      <w:tr>
        <w:trPr/>
        <w:tc>
          <w:tcPr>
            <w:tcW w:w="673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r>
      <w:tr>
        <w:trPr/>
        <w:tc>
          <w:tcPr>
            <w:tcW w:w="67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Stock plan transactions and tax withholding on share-based compensation awards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(173)</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(224)</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cash provided by financing activities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5,243 </w:t>
            </w:r>
          </w:p>
        </w:tc>
        <w:tc>
          <w:tcPr>
            <w:tcW w:w="11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5,671 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increase in cash and cash equivalents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8"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3,545 </w:t>
            </w:r>
          </w:p>
        </w:tc>
        <w:tc>
          <w:tcPr>
            <w:tcW w:w="11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295 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Cash and cash equivalents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r>
      <w:tr>
        <w:trPr/>
        <w:tc>
          <w:tcPr>
            <w:tcW w:w="67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Beginning of period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1,149 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3,013 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End of period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1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4,694 </w:t>
            </w:r>
          </w:p>
        </w:tc>
        <w:tc>
          <w:tcPr>
            <w:tcW w:w="1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3,308 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60"/>
        <w:ind w:left="0" w:right="0" w:firstLine="360"/>
        <w:jc w:val="center"/>
        <w:rPr>
          <w:rFonts w:ascii="Times New Roman;serif" w:hAnsi="Times New Roman;serif"/>
          <w:b w:val="false"/>
          <w:i/>
          <w:color w:val="000000"/>
          <w:sz w:val="20"/>
        </w:rPr>
      </w:pPr>
      <w:r>
        <w:rPr>
          <w:rFonts w:ascii="Times New Roman;serif" w:hAnsi="Times New Roman;serif"/>
          <w:b w:val="false"/>
          <w:i/>
          <w:color w:val="000000"/>
          <w:sz w:val="20"/>
        </w:rPr>
        <w:t>See accompanying notes to condensed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
                <wp:simplePos x="0" y="0"/>
                <wp:positionH relativeFrom="character">
                  <wp:align>left</wp:align>
                </wp:positionH>
                <wp:positionV relativeFrom="line">
                  <wp:posOffset>635</wp:posOffset>
                </wp:positionV>
                <wp:extent cx="6480175" cy="146685"/>
                <wp:effectExtent l="0" t="0" r="0" b="0"/>
                <wp:wrapNone/>
                <wp:docPr id="6" name="Frame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w:t>
                      </w:r>
                    </w:p>
                  </w:txbxContent>
                </v:textbox>
                <w10:wrap type="none"/>
              </v:rect>
            </w:pict>
          </mc:Fallback>
        </mc:AlternateContent>
      </w:r>
    </w:p>
    <w:p>
      <w:pPr>
        <w:pStyle w:val="TextBody"/>
        <w:bidi w:val="0"/>
        <w:spacing w:lineRule="auto" w:line="288" w:before="160" w:after="160"/>
        <w:jc w:val="left"/>
        <w:rPr/>
      </w:pPr>
      <w:hyperlink w:anchor="i0388035fcf6a4f6ca5f569f2895a7d6a_10">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60"/>
        <w:jc w:val="center"/>
        <w:rPr>
          <w:rFonts w:ascii="Times New Roman;serif" w:hAnsi="Times New Roman;serif"/>
          <w:b/>
          <w:color w:val="000000"/>
          <w:sz w:val="20"/>
        </w:rPr>
      </w:pPr>
      <w:r>
        <w:rPr>
          <w:rFonts w:ascii="Times New Roman;serif" w:hAnsi="Times New Roman;serif"/>
          <w:b/>
          <w:color w:val="000000"/>
          <w:sz w:val="20"/>
        </w:rPr>
        <w:t>NOODLES &amp; COMPANY</w:t>
      </w:r>
    </w:p>
    <w:p>
      <w:pPr>
        <w:pStyle w:val="TextBody"/>
        <w:bidi w:val="0"/>
        <w:spacing w:lineRule="auto" w:line="288" w:before="0" w:after="60"/>
        <w:jc w:val="center"/>
        <w:rPr>
          <w:rFonts w:ascii="Times New Roman;serif" w:hAnsi="Times New Roman;serif"/>
          <w:b/>
          <w:color w:val="000000"/>
          <w:sz w:val="20"/>
        </w:rPr>
      </w:pPr>
      <w:r>
        <w:rPr>
          <w:rFonts w:ascii="Times New Roman;serif" w:hAnsi="Times New Roman;serif"/>
          <w:b/>
          <w:color w:val="000000"/>
          <w:sz w:val="20"/>
        </w:rPr>
        <w:t>Notes to Condensed Consolidated Financial Statements</w:t>
      </w:r>
    </w:p>
    <w:p>
      <w:pPr>
        <w:pStyle w:val="TextBody"/>
        <w:bidi w:val="0"/>
        <w:spacing w:lineRule="auto" w:line="288" w:before="0" w:after="60"/>
        <w:jc w:val="center"/>
        <w:rPr>
          <w:rFonts w:ascii="Times New Roman;serif" w:hAnsi="Times New Roman;serif"/>
          <w:b/>
          <w:color w:val="000000"/>
          <w:sz w:val="20"/>
        </w:rPr>
      </w:pPr>
      <w:r>
        <w:rPr>
          <w:rFonts w:ascii="Times New Roman;serif" w:hAnsi="Times New Roman;serif"/>
          <w:b/>
          <w:color w:val="000000"/>
          <w:sz w:val="20"/>
        </w:rPr>
        <w:t>(unaudited)</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both"/>
        <w:rPr>
          <w:rFonts w:ascii="Times New Roman;serif" w:hAnsi="Times New Roman;serif"/>
          <w:b/>
          <w:color w:val="000000"/>
          <w:sz w:val="20"/>
        </w:rPr>
      </w:pPr>
      <w:r>
        <w:rPr>
          <w:rFonts w:ascii="Times New Roman;serif" w:hAnsi="Times New Roman;serif"/>
          <w:b/>
          <w:color w:val="000000"/>
          <w:sz w:val="20"/>
        </w:rPr>
        <w:t>1. Business Summary and Basis of Presentation</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i/>
          <w:color w:val="000000"/>
          <w:sz w:val="20"/>
        </w:rPr>
      </w:pPr>
      <w:r>
        <w:rPr>
          <w:rFonts w:ascii="Times New Roman;serif" w:hAnsi="Times New Roman;serif"/>
          <w:b/>
          <w:i/>
          <w:color w:val="000000"/>
          <w:sz w:val="20"/>
        </w:rPr>
        <w:t>Business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Noodles &amp; Company (the “Company”), a Delaware corporation, develops and operates fast-casual restaurants that serve globally-inspired noodle and pasta dishes, soups, salads and appetizers. As of September 30, 2025, the Company had 435 restaurants system-wide in 31 states, comprised of 349 company-owned restaurants and 86 franchise restaurants. The Company operates its business as one operating and reportable segment. </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i/>
          <w:color w:val="000000"/>
          <w:sz w:val="20"/>
        </w:rPr>
      </w:pPr>
      <w:r>
        <w:rPr>
          <w:rFonts w:ascii="Times New Roman;serif" w:hAnsi="Times New Roman;serif"/>
          <w:b/>
          <w:i/>
          <w:color w:val="000000"/>
          <w:sz w:val="20"/>
        </w:rPr>
        <w:t xml:space="preserve">Basis of Presentation </w:t>
      </w:r>
    </w:p>
    <w:p>
      <w:pPr>
        <w:pStyle w:val="TextBody"/>
        <w:bidi w:val="0"/>
        <w:spacing w:before="0" w:after="0"/>
        <w:jc w:val="both"/>
        <w:rPr/>
      </w:pPr>
      <w:r>
        <w:rPr/>
      </w:r>
    </w:p>
    <w:p>
      <w:pPr>
        <w:pStyle w:val="TextBody"/>
        <w:bidi w:val="0"/>
        <w:spacing w:lineRule="auto" w:line="288" w:before="0" w:after="0"/>
        <w:jc w:val="both"/>
        <w:rPr/>
      </w:pPr>
      <w:r>
        <w:rPr>
          <w:rFonts w:ascii="Times New Roman;serif" w:hAnsi="Times New Roman;serif"/>
          <w:b w:val="false"/>
          <w:color w:val="000000"/>
          <w:sz w:val="20"/>
        </w:rPr>
        <w:t>The accompanying unaudited condensed consolidated financial statements include the accounts of Noodles &amp; Company and its subsidiaries. All intercompany accounts and transactions have been eliminated in consolidation. The accompanying interim unaudited condensed consolidated financial statements have been prepared by the Company pursuant to the rules and regulations of the Securities and Exchange Commission (the “SEC”). Accordingly, they do not include all the information and footnotes required by accounting principles generally accepted in the United States of America (“GAAP”) for complete financial statements. In the opinion of the Company, all adjustments considered necessary for the fair presentation of the Company’s results of operations, financial position and cash flows for the periods presented have been included and are of a normal, recurring nature. The preparation of financial statements in conformity with GAAP requires management to make estimates and assumptions that affect the reported amounts of assets and liabilities and disclosure of contingent assets and liabilities at the date of the financial statements and the reported amounts of revenues and expenses during the reporting period. The results of operations for any interim period are not necessarily indicative of results for the full year. Certain information and footnote disclosures normally included in the Company’s annual consolidated financial statements on Form 10-K have been condensed or omitted. The condensed consolidated balance sheet as of December 31, 2024 was derived from audited financial statements. These financial statements should be read in conjunction with the audited financial statements and the related notes included in the Company’s</w:t>
      </w:r>
      <w:r>
        <w:rPr>
          <w:color w:val="000000"/>
        </w:rPr>
        <w:t xml:space="preserve"> </w:t>
      </w:r>
      <w:r>
        <w:rPr>
          <w:rFonts w:ascii="Times New Roman;serif" w:hAnsi="Times New Roman;serif"/>
          <w:b w:val="false"/>
          <w:color w:val="000000"/>
          <w:sz w:val="20"/>
        </w:rPr>
        <w:t xml:space="preserve">Annual Report on Form 10-K for the fiscal year ended December 31, 2024. </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i/>
          <w:color w:val="000000"/>
          <w:sz w:val="20"/>
        </w:rPr>
      </w:pPr>
      <w:r>
        <w:rPr>
          <w:rFonts w:ascii="Times New Roman;serif" w:hAnsi="Times New Roman;serif"/>
          <w:b/>
          <w:i/>
          <w:color w:val="000000"/>
          <w:sz w:val="20"/>
        </w:rPr>
        <w:t>Fiscal Year</w:t>
      </w:r>
    </w:p>
    <w:p>
      <w:pPr>
        <w:pStyle w:val="TextBody"/>
        <w:bidi w:val="0"/>
        <w:spacing w:before="0" w:after="0"/>
        <w:jc w:val="both"/>
        <w:rPr/>
      </w:pPr>
      <w:r>
        <w:rPr/>
      </w:r>
    </w:p>
    <w:p>
      <w:pPr>
        <w:pStyle w:val="TextBody"/>
        <w:bidi w:val="0"/>
        <w:spacing w:lineRule="auto" w:line="288" w:before="0" w:after="120"/>
        <w:jc w:val="both"/>
        <w:rPr>
          <w:rFonts w:ascii="Times New Roman;serif" w:hAnsi="Times New Roman;serif"/>
          <w:b w:val="false"/>
          <w:color w:val="000000"/>
          <w:sz w:val="20"/>
        </w:rPr>
      </w:pPr>
      <w:r>
        <w:rPr>
          <w:rFonts w:ascii="Times New Roman;serif" w:hAnsi="Times New Roman;serif"/>
          <w:b w:val="false"/>
          <w:color w:val="000000"/>
          <w:sz w:val="20"/>
        </w:rPr>
        <w:t>The Company operates on a 52- or 53-week fiscal year ending on the Tuesday closest to December 31. The Company’s fiscal quarters each contain 13 operating weeks, with the exception of the fourth quarter of a 53-week fiscal year, which contains 14 operating weeks. Fiscal year 2025, which ends on December 30, 2025, and fiscal year 2024, which ended on December 31, 2024, each contain 52 weeks. The Company’s fiscal quarter that ended September 30, 2025 is referred to as the third quarter of 2025, and the fiscal quarter ended October 1, 2024 is referred to as the third quarter of 2024.</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i/>
          <w:color w:val="000000"/>
          <w:sz w:val="20"/>
        </w:rPr>
      </w:pPr>
      <w:r>
        <w:rPr>
          <w:rFonts w:ascii="Times New Roman;serif" w:hAnsi="Times New Roman;serif"/>
          <w:b/>
          <w:i/>
          <w:color w:val="000000"/>
          <w:sz w:val="20"/>
        </w:rPr>
        <w:t>Recently Adopted Accounting Pronouncements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In November 2023, the Financial Accounting Standards Board (“FASB”) issued ASU No. 2023-07, “Segment Reporting (Topic 280): Improvements to Reportable Segment Disclosure.” The ASU updates reportable segment disclosure requirements, primarily through requiring enhanced disclosures about significant segment expenses and information used to assess segment performance. The ASU is effective for fiscal years beginning after December 15, 2023, with early adoption permitted. The Company adopted ASU No. 2023-07 during the year ended December 31, 2024. See Note 13, Segment Reporting for further detail.</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i/>
          <w:color w:val="000000"/>
          <w:sz w:val="20"/>
        </w:rPr>
      </w:pPr>
      <w:r>
        <w:rPr>
          <w:rFonts w:ascii="Times New Roman;serif" w:hAnsi="Times New Roman;serif"/>
          <w:b/>
          <w:i/>
          <w:color w:val="000000"/>
          <w:sz w:val="20"/>
        </w:rPr>
        <w:t>Recently Issued Accounting Pronouncements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In December 2023, the FASB issued ASU No. 2023-09, “Income Taxes (Topic 740): Improvements to Income Tax Disclosures.” The ASU includes amendments requiring enhanced income tax disclosures, primarily related to standardization and disaggregation of rate reconciliation categories and income taxes paid by jurisdiction. The guidance is effective for fiscal years beginning after December 15, 2024, with early adoption permitted, and should be applied either prospectively or retrospectively. The Company will reflect the impact of this ASU as part of the annual income tax disclosures in its Annual Report on Form 10-K for fiscal year 2025. The Company does not expect the adoption of this ASU to have a material impact.</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
                <wp:simplePos x="0" y="0"/>
                <wp:positionH relativeFrom="character">
                  <wp:align>left</wp:align>
                </wp:positionH>
                <wp:positionV relativeFrom="line">
                  <wp:posOffset>635</wp:posOffset>
                </wp:positionV>
                <wp:extent cx="6480175" cy="146685"/>
                <wp:effectExtent l="0" t="0" r="0" b="0"/>
                <wp:wrapNone/>
                <wp:docPr id="7" name="Frame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w:t>
                      </w:r>
                    </w:p>
                  </w:txbxContent>
                </v:textbox>
                <w10:wrap type="none"/>
              </v:rect>
            </w:pict>
          </mc:Fallback>
        </mc:AlternateContent>
      </w:r>
    </w:p>
    <w:p>
      <w:pPr>
        <w:pStyle w:val="TextBody"/>
        <w:bidi w:val="0"/>
        <w:spacing w:before="0" w:after="0"/>
        <w:jc w:val="left"/>
        <w:rPr/>
      </w:pPr>
      <w:r>
        <w:rPr/>
      </w:r>
    </w:p>
    <w:p>
      <w:pPr>
        <w:pStyle w:val="TextBody"/>
        <w:bidi w:val="0"/>
        <w:spacing w:before="60" w:after="283"/>
        <w:jc w:val="both"/>
        <w:rPr/>
      </w:pPr>
      <w:r>
        <w:rPr/>
      </w:r>
    </w:p>
    <w:p>
      <w:pPr>
        <w:pStyle w:val="TextBody"/>
        <w:bidi w:val="0"/>
        <w:spacing w:lineRule="auto" w:line="288" w:before="0" w:after="0"/>
        <w:jc w:val="both"/>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In November 2024, the FASB issued ASU No. 2024-03, "Disaggregation of Income Statement Expenses (Subtopic 220-40)." The ASU requires public entities to disaggregate, in a tabular presentation, certain income statement expenses into different categories, such as purchases of inventory, employee compensation, depreciation, and intangible asset amortization. The guidance is effective for fiscal years beginning after December 15, 2026, with early adoption permitted, and may be applied retrospectively. The Company is currently evaluating the impact of adopting the new ASU on its consolidated financial statements and related disclosures.</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both"/>
        <w:rPr>
          <w:rFonts w:ascii="Times New Roman;serif" w:hAnsi="Times New Roman;serif"/>
          <w:b/>
          <w:color w:val="000000"/>
          <w:sz w:val="20"/>
        </w:rPr>
      </w:pPr>
      <w:r>
        <w:rPr>
          <w:rFonts w:ascii="Times New Roman;serif" w:hAnsi="Times New Roman;serif"/>
          <w:b/>
          <w:color w:val="000000"/>
          <w:sz w:val="20"/>
        </w:rPr>
        <w:t>2. Supplemental Financial Information</w:t>
      </w:r>
    </w:p>
    <w:p>
      <w:pPr>
        <w:pStyle w:val="TextBody"/>
        <w:bidi w:val="0"/>
        <w:spacing w:before="0" w:after="0"/>
        <w:jc w:val="both"/>
        <w:rPr/>
      </w:pPr>
      <w:r>
        <w:rPr/>
      </w:r>
    </w:p>
    <w:p>
      <w:pPr>
        <w:pStyle w:val="TextBody"/>
        <w:bidi w:val="0"/>
        <w:spacing w:lineRule="auto" w:line="288" w:before="0" w:after="120"/>
        <w:jc w:val="both"/>
        <w:rPr>
          <w:rFonts w:ascii="Times New Roman;serif" w:hAnsi="Times New Roman;serif"/>
          <w:b w:val="false"/>
          <w:color w:val="000000"/>
          <w:sz w:val="20"/>
        </w:rPr>
      </w:pPr>
      <w:r>
        <w:rPr>
          <w:rFonts w:ascii="Times New Roman;serif" w:hAnsi="Times New Roman;serif"/>
          <w:b w:val="false"/>
          <w:color w:val="000000"/>
          <w:sz w:val="20"/>
        </w:rPr>
        <w:t>Accounts receivable consist of the following (in thousands):</w:t>
      </w:r>
    </w:p>
    <w:tbl>
      <w:tblPr>
        <w:tblW w:w="5438" w:type="dxa"/>
        <w:jc w:val="left"/>
        <w:tblInd w:w="0" w:type="dxa"/>
        <w:tblLayout w:type="fixed"/>
        <w:tblCellMar>
          <w:top w:w="28" w:type="dxa"/>
          <w:left w:w="28" w:type="dxa"/>
          <w:bottom w:w="28" w:type="dxa"/>
          <w:right w:w="28" w:type="dxa"/>
        </w:tblCellMar>
      </w:tblPr>
      <w:tblGrid>
        <w:gridCol w:w="907"/>
        <w:gridCol w:w="798"/>
        <w:gridCol w:w="800"/>
        <w:gridCol w:w="109"/>
        <w:gridCol w:w="109"/>
        <w:gridCol w:w="109"/>
        <w:gridCol w:w="257"/>
        <w:gridCol w:w="750"/>
        <w:gridCol w:w="132"/>
        <w:gridCol w:w="109"/>
        <w:gridCol w:w="109"/>
        <w:gridCol w:w="109"/>
        <w:gridCol w:w="245"/>
        <w:gridCol w:w="716"/>
        <w:gridCol w:w="179"/>
      </w:tblGrid>
      <w:tr>
        <w:trPr/>
        <w:tc>
          <w:tcPr>
            <w:tcW w:w="907" w:type="dxa"/>
            <w:tcBorders/>
            <w:vAlign w:val="center"/>
          </w:tcPr>
          <w:p>
            <w:pPr>
              <w:pStyle w:val="TableContents"/>
              <w:bidi w:val="0"/>
              <w:spacing w:before="0" w:after="283"/>
              <w:jc w:val="left"/>
              <w:rPr>
                <w:sz w:val="4"/>
                <w:szCs w:val="4"/>
              </w:rPr>
            </w:pPr>
            <w:r>
              <w:rPr>
                <w:sz w:val="4"/>
                <w:szCs w:val="4"/>
              </w:rPr>
            </w:r>
          </w:p>
        </w:tc>
        <w:tc>
          <w:tcPr>
            <w:tcW w:w="798" w:type="dxa"/>
            <w:tcBorders/>
            <w:vAlign w:val="center"/>
          </w:tcPr>
          <w:p>
            <w:pPr>
              <w:pStyle w:val="TableContents"/>
              <w:bidi w:val="0"/>
              <w:spacing w:before="0" w:after="283"/>
              <w:jc w:val="left"/>
              <w:rPr>
                <w:sz w:val="4"/>
                <w:szCs w:val="4"/>
              </w:rPr>
            </w:pPr>
            <w:r>
              <w:rPr>
                <w:sz w:val="4"/>
                <w:szCs w:val="4"/>
              </w:rPr>
            </w:r>
          </w:p>
        </w:tc>
        <w:tc>
          <w:tcPr>
            <w:tcW w:w="80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7" w:type="dxa"/>
            <w:tcBorders/>
            <w:vAlign w:val="center"/>
          </w:tcPr>
          <w:p>
            <w:pPr>
              <w:pStyle w:val="TableContents"/>
              <w:bidi w:val="0"/>
              <w:spacing w:before="0" w:after="283"/>
              <w:jc w:val="left"/>
              <w:rPr>
                <w:sz w:val="4"/>
                <w:szCs w:val="4"/>
              </w:rPr>
            </w:pPr>
            <w:r>
              <w:rPr>
                <w:sz w:val="4"/>
                <w:szCs w:val="4"/>
              </w:rPr>
            </w:r>
          </w:p>
        </w:tc>
        <w:tc>
          <w:tcPr>
            <w:tcW w:w="750"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sz w:val="4"/>
                <w:szCs w:val="4"/>
              </w:rPr>
            </w:pPr>
            <w:r>
              <w:rPr>
                <w:sz w:val="4"/>
                <w:szCs w:val="4"/>
              </w:rPr>
            </w:r>
          </w:p>
        </w:tc>
        <w:tc>
          <w:tcPr>
            <w:tcW w:w="716" w:type="dxa"/>
            <w:tcBorders/>
            <w:vAlign w:val="center"/>
          </w:tcPr>
          <w:p>
            <w:pPr>
              <w:pStyle w:val="TableContents"/>
              <w:bidi w:val="0"/>
              <w:spacing w:before="0" w:after="283"/>
              <w:jc w:val="left"/>
              <w:rPr>
                <w:sz w:val="4"/>
                <w:szCs w:val="4"/>
              </w:rPr>
            </w:pPr>
            <w:r>
              <w:rPr>
                <w:sz w:val="4"/>
                <w:szCs w:val="4"/>
              </w:rPr>
            </w:r>
          </w:p>
        </w:tc>
        <w:tc>
          <w:tcPr>
            <w:tcW w:w="179" w:type="dxa"/>
            <w:tcBorders/>
            <w:vAlign w:val="center"/>
          </w:tcPr>
          <w:p>
            <w:pPr>
              <w:pStyle w:val="TableContents"/>
              <w:bidi w:val="0"/>
              <w:spacing w:before="0" w:after="283"/>
              <w:jc w:val="left"/>
              <w:rPr>
                <w:sz w:val="4"/>
                <w:szCs w:val="4"/>
              </w:rPr>
            </w:pPr>
            <w:r>
              <w:rPr>
                <w:sz w:val="4"/>
                <w:szCs w:val="4"/>
              </w:rPr>
            </w:r>
          </w:p>
        </w:tc>
      </w:tr>
      <w:tr>
        <w:trPr/>
        <w:tc>
          <w:tcPr>
            <w:tcW w:w="25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September 30,</w:t>
              <w:b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December 31,</w:t>
              <w:br/>
              <w:t>2024</w:t>
            </w:r>
          </w:p>
        </w:tc>
      </w:tr>
      <w:tr>
        <w:trPr/>
        <w:tc>
          <w:tcPr>
            <w:tcW w:w="25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Delivery program receivables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5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1,879 </w:t>
            </w:r>
          </w:p>
        </w:tc>
        <w:tc>
          <w:tcPr>
            <w:tcW w:w="13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1,306 </w:t>
            </w:r>
          </w:p>
        </w:tc>
        <w:tc>
          <w:tcPr>
            <w:tcW w:w="17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Vendor rebate receivables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625 </w:t>
            </w:r>
          </w:p>
        </w:tc>
        <w:tc>
          <w:tcPr>
            <w:tcW w:w="1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763 </w:t>
            </w:r>
          </w:p>
        </w:tc>
        <w:tc>
          <w:tcPr>
            <w:tcW w:w="17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Franchise receivables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847 </w:t>
            </w:r>
          </w:p>
        </w:tc>
        <w:tc>
          <w:tcPr>
            <w:tcW w:w="13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1,127 </w:t>
            </w:r>
          </w:p>
        </w:tc>
        <w:tc>
          <w:tcPr>
            <w:tcW w:w="17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Other receivables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758 </w:t>
            </w:r>
          </w:p>
        </w:tc>
        <w:tc>
          <w:tcPr>
            <w:tcW w:w="1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862 </w:t>
            </w:r>
          </w:p>
        </w:tc>
        <w:tc>
          <w:tcPr>
            <w:tcW w:w="17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Accounts receivable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5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4,109 </w:t>
            </w:r>
          </w:p>
        </w:tc>
        <w:tc>
          <w:tcPr>
            <w:tcW w:w="13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4,058 </w:t>
            </w:r>
          </w:p>
        </w:tc>
        <w:tc>
          <w:tcPr>
            <w:tcW w:w="17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4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Prepaid expenses and other assets consist of the following (in thousands):</w:t>
      </w:r>
    </w:p>
    <w:tbl>
      <w:tblPr>
        <w:tblW w:w="5767" w:type="dxa"/>
        <w:jc w:val="left"/>
        <w:tblInd w:w="0" w:type="dxa"/>
        <w:tblLayout w:type="fixed"/>
        <w:tblCellMar>
          <w:top w:w="28" w:type="dxa"/>
          <w:left w:w="28" w:type="dxa"/>
          <w:bottom w:w="28" w:type="dxa"/>
          <w:right w:w="28" w:type="dxa"/>
        </w:tblCellMar>
      </w:tblPr>
      <w:tblGrid>
        <w:gridCol w:w="1026"/>
        <w:gridCol w:w="903"/>
        <w:gridCol w:w="905"/>
        <w:gridCol w:w="109"/>
        <w:gridCol w:w="109"/>
        <w:gridCol w:w="109"/>
        <w:gridCol w:w="257"/>
        <w:gridCol w:w="750"/>
        <w:gridCol w:w="132"/>
        <w:gridCol w:w="109"/>
        <w:gridCol w:w="109"/>
        <w:gridCol w:w="109"/>
        <w:gridCol w:w="245"/>
        <w:gridCol w:w="716"/>
        <w:gridCol w:w="179"/>
      </w:tblGrid>
      <w:tr>
        <w:trPr/>
        <w:tc>
          <w:tcPr>
            <w:tcW w:w="1026" w:type="dxa"/>
            <w:tcBorders/>
            <w:vAlign w:val="center"/>
          </w:tcPr>
          <w:p>
            <w:pPr>
              <w:pStyle w:val="TableContents"/>
              <w:bidi w:val="0"/>
              <w:spacing w:before="0" w:after="283"/>
              <w:jc w:val="left"/>
              <w:rPr>
                <w:sz w:val="4"/>
                <w:szCs w:val="4"/>
              </w:rPr>
            </w:pPr>
            <w:r>
              <w:rPr>
                <w:sz w:val="4"/>
                <w:szCs w:val="4"/>
              </w:rPr>
            </w:r>
          </w:p>
        </w:tc>
        <w:tc>
          <w:tcPr>
            <w:tcW w:w="903" w:type="dxa"/>
            <w:tcBorders/>
            <w:vAlign w:val="center"/>
          </w:tcPr>
          <w:p>
            <w:pPr>
              <w:pStyle w:val="TableContents"/>
              <w:bidi w:val="0"/>
              <w:spacing w:before="0" w:after="283"/>
              <w:jc w:val="left"/>
              <w:rPr>
                <w:sz w:val="4"/>
                <w:szCs w:val="4"/>
              </w:rPr>
            </w:pPr>
            <w:r>
              <w:rPr>
                <w:sz w:val="4"/>
                <w:szCs w:val="4"/>
              </w:rPr>
            </w:r>
          </w:p>
        </w:tc>
        <w:tc>
          <w:tcPr>
            <w:tcW w:w="90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7" w:type="dxa"/>
            <w:tcBorders/>
            <w:vAlign w:val="center"/>
          </w:tcPr>
          <w:p>
            <w:pPr>
              <w:pStyle w:val="TableContents"/>
              <w:bidi w:val="0"/>
              <w:spacing w:before="0" w:after="283"/>
              <w:jc w:val="left"/>
              <w:rPr>
                <w:sz w:val="4"/>
                <w:szCs w:val="4"/>
              </w:rPr>
            </w:pPr>
            <w:r>
              <w:rPr>
                <w:sz w:val="4"/>
                <w:szCs w:val="4"/>
              </w:rPr>
            </w:r>
          </w:p>
        </w:tc>
        <w:tc>
          <w:tcPr>
            <w:tcW w:w="750"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sz w:val="4"/>
                <w:szCs w:val="4"/>
              </w:rPr>
            </w:pPr>
            <w:r>
              <w:rPr>
                <w:sz w:val="4"/>
                <w:szCs w:val="4"/>
              </w:rPr>
            </w:r>
          </w:p>
        </w:tc>
        <w:tc>
          <w:tcPr>
            <w:tcW w:w="716" w:type="dxa"/>
            <w:tcBorders/>
            <w:vAlign w:val="center"/>
          </w:tcPr>
          <w:p>
            <w:pPr>
              <w:pStyle w:val="TableContents"/>
              <w:bidi w:val="0"/>
              <w:spacing w:before="0" w:after="283"/>
              <w:jc w:val="left"/>
              <w:rPr>
                <w:sz w:val="4"/>
                <w:szCs w:val="4"/>
              </w:rPr>
            </w:pPr>
            <w:r>
              <w:rPr>
                <w:sz w:val="4"/>
                <w:szCs w:val="4"/>
              </w:rPr>
            </w:r>
          </w:p>
        </w:tc>
        <w:tc>
          <w:tcPr>
            <w:tcW w:w="179" w:type="dxa"/>
            <w:tcBorders/>
            <w:vAlign w:val="center"/>
          </w:tcPr>
          <w:p>
            <w:pPr>
              <w:pStyle w:val="TableContents"/>
              <w:bidi w:val="0"/>
              <w:spacing w:before="0" w:after="283"/>
              <w:jc w:val="left"/>
              <w:rPr>
                <w:sz w:val="4"/>
                <w:szCs w:val="4"/>
              </w:rPr>
            </w:pPr>
            <w:r>
              <w:rPr>
                <w:sz w:val="4"/>
                <w:szCs w:val="4"/>
              </w:rPr>
            </w:r>
          </w:p>
        </w:tc>
      </w:tr>
      <w:tr>
        <w:trPr/>
        <w:tc>
          <w:tcPr>
            <w:tcW w:w="28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September 30,</w:t>
              <w:b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December 31,</w:t>
              <w:br/>
              <w:t>2024</w:t>
            </w:r>
          </w:p>
        </w:tc>
      </w:tr>
      <w:tr>
        <w:trPr/>
        <w:tc>
          <w:tcPr>
            <w:tcW w:w="28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Prepaid insurance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shd w:fill="CCEEFF" w:val="clear"/>
              </w:rPr>
            </w:pPr>
            <w:r>
              <w:rPr>
                <w:rFonts w:ascii="Times New Roman;serif" w:hAnsi="Times New Roman;serif"/>
                <w:b w:val="false"/>
                <w:color w:val="000000"/>
                <w:sz w:val="20"/>
                <w:shd w:fill="CCEEFF" w:val="clear"/>
              </w:rPr>
              <w:t>$</w:t>
            </w:r>
          </w:p>
        </w:tc>
        <w:tc>
          <w:tcPr>
            <w:tcW w:w="75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shd w:fill="CCEEFF" w:val="clear"/>
              </w:rPr>
            </w:pPr>
            <w:r>
              <w:rPr>
                <w:rFonts w:ascii="Times New Roman;serif" w:hAnsi="Times New Roman;serif"/>
                <w:b w:val="false"/>
                <w:color w:val="000000"/>
                <w:sz w:val="20"/>
                <w:shd w:fill="CCEEFF" w:val="clear"/>
              </w:rPr>
              <w:t>1,257 </w:t>
            </w:r>
          </w:p>
        </w:tc>
        <w:tc>
          <w:tcPr>
            <w:tcW w:w="13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950 </w:t>
            </w:r>
          </w:p>
        </w:tc>
        <w:tc>
          <w:tcPr>
            <w:tcW w:w="17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Prepaid occupancy related costs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797 </w:t>
            </w:r>
          </w:p>
        </w:tc>
        <w:tc>
          <w:tcPr>
            <w:tcW w:w="1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850 </w:t>
            </w:r>
          </w:p>
        </w:tc>
        <w:tc>
          <w:tcPr>
            <w:tcW w:w="17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3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0" w:type="dxa"/>
            <w:gridSpan w:val="3"/>
            <w:tcBorders/>
            <w:vAlign w:val="center"/>
          </w:tcPr>
          <w:p>
            <w:pPr>
              <w:pStyle w:val="TableContents"/>
              <w:bidi w:val="0"/>
              <w:spacing w:before="0" w:after="283"/>
              <w:jc w:val="left"/>
              <w:rPr>
                <w:sz w:val="4"/>
                <w:szCs w:val="4"/>
              </w:rPr>
            </w:pPr>
            <w:r>
              <w:rPr>
                <w:sz w:val="4"/>
                <w:szCs w:val="4"/>
              </w:rPr>
            </w:r>
          </w:p>
        </w:tc>
      </w:tr>
      <w:tr>
        <w:trPr/>
        <w:tc>
          <w:tcPr>
            <w:tcW w:w="28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Prepaid expenses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2,196 </w:t>
            </w:r>
          </w:p>
        </w:tc>
        <w:tc>
          <w:tcPr>
            <w:tcW w:w="13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2,332 </w:t>
            </w:r>
          </w:p>
        </w:tc>
        <w:tc>
          <w:tcPr>
            <w:tcW w:w="17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current assets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21 </w:t>
            </w:r>
          </w:p>
        </w:tc>
        <w:tc>
          <w:tcPr>
            <w:tcW w:w="1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24 </w:t>
            </w:r>
          </w:p>
        </w:tc>
        <w:tc>
          <w:tcPr>
            <w:tcW w:w="17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Prepaid expenses and other assets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5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4,271 </w:t>
            </w:r>
          </w:p>
        </w:tc>
        <w:tc>
          <w:tcPr>
            <w:tcW w:w="13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4,156 </w:t>
            </w:r>
          </w:p>
        </w:tc>
        <w:tc>
          <w:tcPr>
            <w:tcW w:w="17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Property and equipment, net, consists of the following (in thousands):</w:t>
      </w:r>
    </w:p>
    <w:tbl>
      <w:tblPr>
        <w:tblW w:w="6681" w:type="dxa"/>
        <w:jc w:val="left"/>
        <w:tblInd w:w="0" w:type="dxa"/>
        <w:tblLayout w:type="fixed"/>
        <w:tblCellMar>
          <w:top w:w="28" w:type="dxa"/>
          <w:left w:w="28" w:type="dxa"/>
          <w:bottom w:w="28" w:type="dxa"/>
          <w:right w:w="28" w:type="dxa"/>
        </w:tblCellMar>
      </w:tblPr>
      <w:tblGrid>
        <w:gridCol w:w="1337"/>
        <w:gridCol w:w="1174"/>
        <w:gridCol w:w="1179"/>
        <w:gridCol w:w="109"/>
        <w:gridCol w:w="109"/>
        <w:gridCol w:w="109"/>
        <w:gridCol w:w="211"/>
        <w:gridCol w:w="826"/>
        <w:gridCol w:w="109"/>
        <w:gridCol w:w="109"/>
        <w:gridCol w:w="109"/>
        <w:gridCol w:w="109"/>
        <w:gridCol w:w="211"/>
        <w:gridCol w:w="826"/>
        <w:gridCol w:w="154"/>
      </w:tblGrid>
      <w:tr>
        <w:trPr/>
        <w:tc>
          <w:tcPr>
            <w:tcW w:w="1337" w:type="dxa"/>
            <w:tcBorders/>
            <w:vAlign w:val="center"/>
          </w:tcPr>
          <w:p>
            <w:pPr>
              <w:pStyle w:val="TableContents"/>
              <w:bidi w:val="0"/>
              <w:spacing w:before="0" w:after="283"/>
              <w:jc w:val="left"/>
              <w:rPr>
                <w:sz w:val="4"/>
                <w:szCs w:val="4"/>
              </w:rPr>
            </w:pPr>
            <w:r>
              <w:rPr>
                <w:sz w:val="4"/>
                <w:szCs w:val="4"/>
              </w:rPr>
            </w:r>
          </w:p>
        </w:tc>
        <w:tc>
          <w:tcPr>
            <w:tcW w:w="1174" w:type="dxa"/>
            <w:tcBorders/>
            <w:vAlign w:val="center"/>
          </w:tcPr>
          <w:p>
            <w:pPr>
              <w:pStyle w:val="TableContents"/>
              <w:bidi w:val="0"/>
              <w:spacing w:before="0" w:after="283"/>
              <w:jc w:val="left"/>
              <w:rPr>
                <w:sz w:val="4"/>
                <w:szCs w:val="4"/>
              </w:rPr>
            </w:pPr>
            <w:r>
              <w:rPr>
                <w:sz w:val="4"/>
                <w:szCs w:val="4"/>
              </w:rPr>
            </w:r>
          </w:p>
        </w:tc>
        <w:tc>
          <w:tcPr>
            <w:tcW w:w="117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6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September 30,</w:t>
              <w:b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December 31,</w:t>
              <w:br/>
              <w:t>2024</w:t>
            </w:r>
          </w:p>
        </w:tc>
      </w:tr>
      <w:tr>
        <w:trPr/>
        <w:tc>
          <w:tcPr>
            <w:tcW w:w="36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Leasehold improvements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217,859 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230,211 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9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Furniture, fixtures and equipment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178,658 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177,070 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Construction in progress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1,843 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4,463 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398,360 </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411,744 </w:t>
            </w:r>
          </w:p>
        </w:tc>
        <w:tc>
          <w:tcPr>
            <w:tcW w:w="154"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Accumulated depreciation and amortization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(283,882)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(274,507)</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9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Property and equipment, net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114,478 </w:t>
            </w:r>
          </w:p>
        </w:tc>
        <w:tc>
          <w:tcPr>
            <w:tcW w:w="109"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137,237 </w:t>
            </w:r>
          </w:p>
        </w:tc>
        <w:tc>
          <w:tcPr>
            <w:tcW w:w="154"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80" w:after="283"/>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Accrued payroll and benefits consist of the following (in thousands):</w:t>
      </w:r>
    </w:p>
    <w:tbl>
      <w:tblPr>
        <w:tblW w:w="6129" w:type="dxa"/>
        <w:jc w:val="left"/>
        <w:tblInd w:w="0" w:type="dxa"/>
        <w:tblLayout w:type="fixed"/>
        <w:tblCellMar>
          <w:top w:w="28" w:type="dxa"/>
          <w:left w:w="28" w:type="dxa"/>
          <w:bottom w:w="28" w:type="dxa"/>
          <w:right w:w="28" w:type="dxa"/>
        </w:tblCellMar>
      </w:tblPr>
      <w:tblGrid>
        <w:gridCol w:w="1156"/>
        <w:gridCol w:w="1018"/>
        <w:gridCol w:w="1021"/>
        <w:gridCol w:w="109"/>
        <w:gridCol w:w="109"/>
        <w:gridCol w:w="109"/>
        <w:gridCol w:w="231"/>
        <w:gridCol w:w="790"/>
        <w:gridCol w:w="119"/>
        <w:gridCol w:w="109"/>
        <w:gridCol w:w="109"/>
        <w:gridCol w:w="109"/>
        <w:gridCol w:w="245"/>
        <w:gridCol w:w="716"/>
        <w:gridCol w:w="179"/>
      </w:tblGrid>
      <w:tr>
        <w:trPr/>
        <w:tc>
          <w:tcPr>
            <w:tcW w:w="1156" w:type="dxa"/>
            <w:tcBorders/>
            <w:vAlign w:val="center"/>
          </w:tcPr>
          <w:p>
            <w:pPr>
              <w:pStyle w:val="TableContents"/>
              <w:bidi w:val="0"/>
              <w:spacing w:before="0" w:after="283"/>
              <w:jc w:val="left"/>
              <w:rPr>
                <w:sz w:val="4"/>
                <w:szCs w:val="4"/>
              </w:rPr>
            </w:pPr>
            <w:r>
              <w:rPr>
                <w:sz w:val="4"/>
                <w:szCs w:val="4"/>
              </w:rPr>
            </w:r>
          </w:p>
        </w:tc>
        <w:tc>
          <w:tcPr>
            <w:tcW w:w="1018" w:type="dxa"/>
            <w:tcBorders/>
            <w:vAlign w:val="center"/>
          </w:tcPr>
          <w:p>
            <w:pPr>
              <w:pStyle w:val="TableContents"/>
              <w:bidi w:val="0"/>
              <w:spacing w:before="0" w:after="283"/>
              <w:jc w:val="left"/>
              <w:rPr>
                <w:sz w:val="4"/>
                <w:szCs w:val="4"/>
              </w:rPr>
            </w:pPr>
            <w:r>
              <w:rPr>
                <w:sz w:val="4"/>
                <w:szCs w:val="4"/>
              </w:rPr>
            </w:r>
          </w:p>
        </w:tc>
        <w:tc>
          <w:tcPr>
            <w:tcW w:w="10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sz w:val="4"/>
                <w:szCs w:val="4"/>
              </w:rPr>
            </w:pPr>
            <w:r>
              <w:rPr>
                <w:sz w:val="4"/>
                <w:szCs w:val="4"/>
              </w:rPr>
            </w:r>
          </w:p>
        </w:tc>
        <w:tc>
          <w:tcPr>
            <w:tcW w:w="790"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sz w:val="4"/>
                <w:szCs w:val="4"/>
              </w:rPr>
            </w:pPr>
            <w:r>
              <w:rPr>
                <w:sz w:val="4"/>
                <w:szCs w:val="4"/>
              </w:rPr>
            </w:r>
          </w:p>
        </w:tc>
        <w:tc>
          <w:tcPr>
            <w:tcW w:w="716" w:type="dxa"/>
            <w:tcBorders/>
            <w:vAlign w:val="center"/>
          </w:tcPr>
          <w:p>
            <w:pPr>
              <w:pStyle w:val="TableContents"/>
              <w:bidi w:val="0"/>
              <w:spacing w:before="0" w:after="283"/>
              <w:jc w:val="left"/>
              <w:rPr>
                <w:sz w:val="4"/>
                <w:szCs w:val="4"/>
              </w:rPr>
            </w:pPr>
            <w:r>
              <w:rPr>
                <w:sz w:val="4"/>
                <w:szCs w:val="4"/>
              </w:rPr>
            </w:r>
          </w:p>
        </w:tc>
        <w:tc>
          <w:tcPr>
            <w:tcW w:w="179" w:type="dxa"/>
            <w:tcBorders/>
            <w:vAlign w:val="center"/>
          </w:tcPr>
          <w:p>
            <w:pPr>
              <w:pStyle w:val="TableContents"/>
              <w:bidi w:val="0"/>
              <w:spacing w:before="0" w:after="283"/>
              <w:jc w:val="left"/>
              <w:rPr>
                <w:sz w:val="4"/>
                <w:szCs w:val="4"/>
              </w:rPr>
            </w:pPr>
            <w:r>
              <w:rPr>
                <w:sz w:val="4"/>
                <w:szCs w:val="4"/>
              </w:rPr>
            </w:r>
          </w:p>
        </w:tc>
      </w:tr>
      <w:tr>
        <w:trPr/>
        <w:tc>
          <w:tcPr>
            <w:tcW w:w="31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September 30,</w:t>
              <w:b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December 31,</w:t>
              <w:br/>
              <w:t>2024</w:t>
            </w:r>
          </w:p>
        </w:tc>
      </w:tr>
      <w:tr>
        <w:trPr/>
        <w:tc>
          <w:tcPr>
            <w:tcW w:w="31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Accrued payroll and related liabilities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8,121 </w:t>
            </w:r>
          </w:p>
        </w:tc>
        <w:tc>
          <w:tcPr>
            <w:tcW w:w="11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4,489 </w:t>
            </w:r>
          </w:p>
        </w:tc>
        <w:tc>
          <w:tcPr>
            <w:tcW w:w="17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Accrued bonus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325 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1,405 </w:t>
            </w:r>
          </w:p>
        </w:tc>
        <w:tc>
          <w:tcPr>
            <w:tcW w:w="17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Insurance liabilities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1,692 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1,738 </w:t>
            </w:r>
          </w:p>
        </w:tc>
        <w:tc>
          <w:tcPr>
            <w:tcW w:w="17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Accrued payroll and benefits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10,138 </w:t>
            </w:r>
          </w:p>
        </w:tc>
        <w:tc>
          <w:tcPr>
            <w:tcW w:w="11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1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7,632 </w:t>
            </w:r>
          </w:p>
        </w:tc>
        <w:tc>
          <w:tcPr>
            <w:tcW w:w="17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
                <wp:simplePos x="0" y="0"/>
                <wp:positionH relativeFrom="character">
                  <wp:align>left</wp:align>
                </wp:positionH>
                <wp:positionV relativeFrom="line">
                  <wp:posOffset>635</wp:posOffset>
                </wp:positionV>
                <wp:extent cx="6480175" cy="146685"/>
                <wp:effectExtent l="0" t="0" r="0" b="0"/>
                <wp:wrapNone/>
                <wp:docPr id="8" name="Frame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7</w:t>
                      </w:r>
                    </w:p>
                  </w:txbxContent>
                </v:textbox>
                <w10:wrap type="none"/>
              </v:rect>
            </w:pict>
          </mc:Fallback>
        </mc:AlternateContent>
      </w:r>
    </w:p>
    <w:p>
      <w:pPr>
        <w:pStyle w:val="TextBody"/>
        <w:bidi w:val="0"/>
        <w:spacing w:lineRule="auto" w:line="288" w:before="160" w:after="160"/>
        <w:jc w:val="left"/>
        <w:rPr/>
      </w:pPr>
      <w:hyperlink w:anchor="i0388035fcf6a4f6ca5f569f2895a7d6a_10">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Accrued expenses and other current liabilities consist of the following (in thousands):</w:t>
      </w:r>
    </w:p>
    <w:tbl>
      <w:tblPr>
        <w:tblW w:w="6757" w:type="dxa"/>
        <w:jc w:val="left"/>
        <w:tblInd w:w="0" w:type="dxa"/>
        <w:tblLayout w:type="fixed"/>
        <w:tblCellMar>
          <w:top w:w="28" w:type="dxa"/>
          <w:left w:w="28" w:type="dxa"/>
          <w:bottom w:w="28" w:type="dxa"/>
          <w:right w:w="28" w:type="dxa"/>
        </w:tblCellMar>
      </w:tblPr>
      <w:tblGrid>
        <w:gridCol w:w="1385"/>
        <w:gridCol w:w="1215"/>
        <w:gridCol w:w="1224"/>
        <w:gridCol w:w="109"/>
        <w:gridCol w:w="109"/>
        <w:gridCol w:w="109"/>
        <w:gridCol w:w="231"/>
        <w:gridCol w:w="790"/>
        <w:gridCol w:w="119"/>
        <w:gridCol w:w="109"/>
        <w:gridCol w:w="109"/>
        <w:gridCol w:w="109"/>
        <w:gridCol w:w="221"/>
        <w:gridCol w:w="757"/>
        <w:gridCol w:w="161"/>
      </w:tblGrid>
      <w:tr>
        <w:trPr/>
        <w:tc>
          <w:tcPr>
            <w:tcW w:w="1385" w:type="dxa"/>
            <w:tcBorders/>
            <w:vAlign w:val="center"/>
          </w:tcPr>
          <w:p>
            <w:pPr>
              <w:pStyle w:val="TableContents"/>
              <w:bidi w:val="0"/>
              <w:spacing w:before="0" w:after="283"/>
              <w:jc w:val="left"/>
              <w:rPr>
                <w:sz w:val="4"/>
                <w:szCs w:val="4"/>
              </w:rPr>
            </w:pPr>
            <w:r>
              <w:rPr>
                <w:sz w:val="4"/>
                <w:szCs w:val="4"/>
              </w:rPr>
            </w:r>
          </w:p>
        </w:tc>
        <w:tc>
          <w:tcPr>
            <w:tcW w:w="1215" w:type="dxa"/>
            <w:tcBorders/>
            <w:vAlign w:val="center"/>
          </w:tcPr>
          <w:p>
            <w:pPr>
              <w:pStyle w:val="TableContents"/>
              <w:bidi w:val="0"/>
              <w:spacing w:before="0" w:after="283"/>
              <w:jc w:val="left"/>
              <w:rPr>
                <w:sz w:val="4"/>
                <w:szCs w:val="4"/>
              </w:rPr>
            </w:pPr>
            <w:r>
              <w:rPr>
                <w:sz w:val="4"/>
                <w:szCs w:val="4"/>
              </w:rPr>
            </w:r>
          </w:p>
        </w:tc>
        <w:tc>
          <w:tcPr>
            <w:tcW w:w="12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sz w:val="4"/>
                <w:szCs w:val="4"/>
              </w:rPr>
            </w:pPr>
            <w:r>
              <w:rPr>
                <w:sz w:val="4"/>
                <w:szCs w:val="4"/>
              </w:rPr>
            </w:r>
          </w:p>
        </w:tc>
        <w:tc>
          <w:tcPr>
            <w:tcW w:w="790"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c>
          <w:tcPr>
            <w:tcW w:w="757"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38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September 30,</w:t>
              <w:b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December 31,</w:t>
              <w:br/>
              <w:t>2024</w:t>
            </w:r>
          </w:p>
        </w:tc>
      </w:tr>
      <w:tr>
        <w:trPr/>
        <w:tc>
          <w:tcPr>
            <w:tcW w:w="38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Gift card liability</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1,885 </w:t>
            </w:r>
          </w:p>
        </w:tc>
        <w:tc>
          <w:tcPr>
            <w:tcW w:w="11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5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2,000 </w:t>
            </w:r>
          </w:p>
        </w:tc>
        <w:tc>
          <w:tcPr>
            <w:tcW w:w="16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Occupancy related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1,758 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1,926 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Utilities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1,378 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1,340 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Current portion of finance lease liability</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1,838 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1,976 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2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9" w:type="dxa"/>
            <w:gridSpan w:val="3"/>
            <w:tcBorders/>
            <w:vAlign w:val="center"/>
          </w:tcPr>
          <w:p>
            <w:pPr>
              <w:pStyle w:val="TableContents"/>
              <w:bidi w:val="0"/>
              <w:spacing w:before="0" w:after="283"/>
              <w:jc w:val="left"/>
              <w:rPr>
                <w:sz w:val="4"/>
                <w:szCs w:val="4"/>
              </w:rPr>
            </w:pPr>
            <w:r>
              <w:rPr>
                <w:sz w:val="4"/>
                <w:szCs w:val="4"/>
              </w:rPr>
            </w:r>
          </w:p>
        </w:tc>
      </w:tr>
      <w:tr>
        <w:trPr/>
        <w:tc>
          <w:tcPr>
            <w:tcW w:w="38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restaurant expense accruals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1,281 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1,842 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corporate expense accruals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3,852 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3,752 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Accrued expenses and other current liabilities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11,992 </w:t>
            </w:r>
          </w:p>
        </w:tc>
        <w:tc>
          <w:tcPr>
            <w:tcW w:w="11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5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12,836 </w:t>
            </w:r>
          </w:p>
        </w:tc>
        <w:tc>
          <w:tcPr>
            <w:tcW w:w="16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both"/>
        <w:rPr>
          <w:rFonts w:ascii="Times New Roman;serif" w:hAnsi="Times New Roman;serif"/>
          <w:b/>
          <w:color w:val="000000"/>
          <w:sz w:val="20"/>
        </w:rPr>
      </w:pPr>
      <w:r>
        <w:rPr>
          <w:rFonts w:ascii="Times New Roman;serif" w:hAnsi="Times New Roman;serif"/>
          <w:b/>
          <w:color w:val="000000"/>
          <w:sz w:val="20"/>
        </w:rPr>
        <w:t>3. Long-Term Debt</w:t>
      </w:r>
    </w:p>
    <w:p>
      <w:pPr>
        <w:pStyle w:val="TextBody"/>
        <w:bidi w:val="0"/>
        <w:spacing w:before="0" w:after="0"/>
        <w:jc w:val="both"/>
        <w:rPr/>
      </w:pPr>
      <w:r>
        <w:rPr/>
      </w:r>
    </w:p>
    <w:p>
      <w:pPr>
        <w:pStyle w:val="TextBody"/>
        <w:bidi w:val="0"/>
        <w:spacing w:lineRule="auto" w:line="288" w:before="0" w:after="0"/>
        <w:jc w:val="both"/>
        <w:rPr/>
      </w:pPr>
      <w:r>
        <w:rPr>
          <w:rFonts w:ascii="Times New Roman;serif" w:hAnsi="Times New Roman;serif"/>
          <w:b w:val="false"/>
          <w:color w:val="000000"/>
          <w:sz w:val="20"/>
        </w:rPr>
        <w:t>O</w:t>
      </w:r>
      <w:r>
        <w:rPr>
          <w:rFonts w:ascii="Times New Roman;serif" w:hAnsi="Times New Roman;serif"/>
          <w:b w:val="false"/>
          <w:color w:val="000000"/>
          <w:sz w:val="20"/>
          <w:shd w:fill="FFFFFF" w:val="clear"/>
        </w:rPr>
        <w:t xml:space="preserve">n July 27, 2022, the Company </w:t>
      </w:r>
      <w:r>
        <w:rPr>
          <w:rFonts w:ascii="Times New Roman;serif" w:hAnsi="Times New Roman;serif"/>
          <w:b w:val="false"/>
          <w:color w:val="000000"/>
          <w:sz w:val="20"/>
        </w:rPr>
        <w:t xml:space="preserve">entered into </w:t>
      </w:r>
      <w:r>
        <w:rPr>
          <w:rFonts w:ascii="Times New Roman;serif" w:hAnsi="Times New Roman;serif"/>
          <w:b w:val="false"/>
          <w:color w:val="000000"/>
          <w:sz w:val="20"/>
          <w:shd w:fill="FFFFFF" w:val="clear"/>
        </w:rPr>
        <w:t>the Amended and Restated Credit Agreement (as further amended, restated, extended, supplemented, modified and otherwise in effect from time to time, the “A&amp;R Credit Agreement”), with each other Loan Party (as defined in the A&amp;R Credit Agreement) part</w:t>
      </w:r>
      <w:r>
        <w:rPr>
          <w:rFonts w:ascii="Times New Roman;serif" w:hAnsi="Times New Roman;serif"/>
          <w:b w:val="false"/>
          <w:color w:val="000000"/>
          <w:sz w:val="20"/>
        </w:rPr>
        <w:t xml:space="preserve">y thereto, each lender from time to time party thereto, and U.S. Bank National Association, as Administrative Agent, L/C Issuer and Swing Line Lender (each as defined in the A&amp;R Credit Agreement). The A&amp;R Credit Agreement matures on July 27, 2027. </w:t>
      </w:r>
      <w:r>
        <w:rPr>
          <w:rFonts w:ascii="Times New Roman;serif" w:hAnsi="Times New Roman;serif"/>
          <w:b w:val="false"/>
          <w:color w:val="000000"/>
          <w:sz w:val="20"/>
          <w:shd w:fill="FFFFFF" w:val="clear"/>
        </w:rPr>
        <w:t>Among other things, the A&amp;R Credit Agreement: (i) increased the credit facility from $100.0 million to $125.0 million; (ii) eliminated the term loan and principal amortization components of the credit facility; (iii) removed the Company’s capital expenditure covenant; (iv) enhanced flexibility for certain covenants and restrictions; and (v) lowered the spread of the Company’s cost of borrowing</w:t>
      </w:r>
      <w:r>
        <w:rPr>
          <w:color w:val="000000"/>
        </w:rPr>
        <w:t xml:space="preserve"> </w:t>
      </w:r>
      <w:r>
        <w:rPr>
          <w:rFonts w:ascii="Times New Roman;serif" w:hAnsi="Times New Roman;serif"/>
          <w:b w:val="false"/>
          <w:color w:val="000000"/>
          <w:sz w:val="20"/>
        </w:rPr>
        <w:t xml:space="preserve">and transitioned from the London Interbank Offered Rate (“LIBOR”) to the Secured Overnight Financing Rate (“SOFR”) plus a margin of 1.50% to 2.50% per annum, based upon the consolidated total lease-adjusted leverage ratio. The A&amp;R Credit Agreement is secured by a pledge of stock of substantially all of the Company’s subsidiaries and a lien on substantially all of the personal property assets of the Company and its subsidiaries. </w:t>
      </w:r>
      <w:r>
        <w:rPr>
          <w:rFonts w:ascii="Times New Roman;serif" w:hAnsi="Times New Roman;serif"/>
          <w:b w:val="false"/>
          <w:color w:val="000000"/>
          <w:sz w:val="20"/>
          <w:shd w:fill="FFFFFF" w:val="clear"/>
        </w:rPr>
        <w:t>The A&amp;R Credit Agreement was subsequently amended on December 21, 2023.</w:t>
      </w:r>
    </w:p>
    <w:p>
      <w:pPr>
        <w:pStyle w:val="TextBody"/>
        <w:bidi w:val="0"/>
        <w:spacing w:before="0" w:after="0"/>
        <w:jc w:val="left"/>
        <w:rPr/>
      </w:pPr>
      <w:r>
        <w:rPr/>
      </w:r>
    </w:p>
    <w:p>
      <w:pPr>
        <w:pStyle w:val="TextBody"/>
        <w:bidi w:val="0"/>
        <w:spacing w:lineRule="auto" w:line="288" w:before="0" w:after="0"/>
        <w:jc w:val="both"/>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On October 29, 2024, the Company amended its A&amp;R Credit Agreement, by entering into that certain Second Amendment to the Amended and Restated Credit Agreement (the “Second Amendment”). Among the modifications, the Second Amendment: (i) increased the maximum applicable rate ranges (A) with respect to SOFR loans, from 1.75% - 3.00% to 1.75% - 3.75% per annum and (B) with respect to base rate loans, from 0.75% - 2.00% to 0.75% - 2.75% per annum, in each case as determined by the Consolidated Total Lease Adjusted Leverage Ratio (as defined in the A&amp;R Credit Agreement), (ii) conditioned the use of the general restricted payment basket on satisfaction of a Consolidated Total Lease Adjusted Leverage Ratio (as defined in the A&amp;R Credit Agreement) of less than or equal to 4.00 to 1.00 and a Consolidated Fixed Charge Coverage Ratio (as defined in the A&amp;R Credit Agreement) of greater than or equal to 1.25 to 1.00, (iii) restricted entry into new lease agreements so long as the Consolidated Total Lease Adjusted Leverage Ratio (as defined in the A&amp;R Credit Agreement) in Section 7.11(a) of the A&amp;R Credit Agreement is greater than or equal to 4.50 to 1.00, (iv) increased the Consolidated Total Lease Adjusted Leverage Ratio (as defined in the A&amp;R Credit Agreement) in Section 7.11(a) of the A&amp;R Credit Agreement to be no greater than (x) 5.50 to 1.00 for the fiscal quarter ending on October 1, 2024 until and including the last day of the fiscal quarter ending September 30, 2025 and (y) stepping down to (1) 5.25 to 1.00 for the fiscal quarter ending December 30, 2025, (2) 5.00 to 1.00 for the fiscal quarters ending March 31, 2026 and June 30, 2026, (3) 4.75 to 1.00 for the fiscal quarters ending September 29, 2026 and December 29, 2026 and (4) 4.50 to 1.00 for the fiscal quarter ended March 30, 2027 and thereafter and (v) amended the Consolidated Fixed Charge Coverage Ratio (as defined in the A&amp;R Credit Agreement) in Section 7.11(b) of the A&amp;R Credit Agreement to be no less than (x) 1.05 to 1.00 for the fiscal quarter ending on October 1, 2024 until and including the last day of the fiscal quarter ending September 30, 2025 and (y) stepping up to (1) 1.15 to 1.00 for the fiscal quarters ending December 30, 2025 and March 31, 2026 and (2) 1.25 to 1.00 for the fiscal quarter ending June 30, 2026 and thereafter.</w:t>
      </w:r>
    </w:p>
    <w:p>
      <w:pPr>
        <w:pStyle w:val="TextBody"/>
        <w:bidi w:val="0"/>
        <w:spacing w:before="0" w:after="0"/>
        <w:jc w:val="both"/>
        <w:rPr/>
      </w:pPr>
      <w:r>
        <w:rPr/>
      </w:r>
    </w:p>
    <w:p>
      <w:pPr>
        <w:pStyle w:val="TextBody"/>
        <w:bidi w:val="0"/>
        <w:spacing w:lineRule="auto" w:line="288" w:before="0" w:after="0"/>
        <w:jc w:val="left"/>
        <w:rPr/>
      </w:pPr>
      <w:r>
        <w:rPr>
          <w:rFonts w:ascii="Times New Roman;serif" w:hAnsi="Times New Roman;serif"/>
          <w:b w:val="false"/>
          <w:color w:val="000000"/>
          <w:sz w:val="20"/>
        </w:rPr>
        <w:t xml:space="preserve">As of September 30, 2025, the Company had $109.8 million of indebtedness (excluding $1.6 million of unamortized debt issuance costs) </w:t>
      </w:r>
      <w:r>
        <w:rPr>
          <w:rFonts w:ascii="Times New Roman;serif" w:hAnsi="Times New Roman;serif"/>
          <w:b w:val="false"/>
          <w:color w:val="000000"/>
          <w:sz w:val="20"/>
          <w:shd w:fill="FFFFFF" w:val="clear"/>
        </w:rPr>
        <w:t xml:space="preserve">and $3.0 million of letters of </w:t>
      </w:r>
      <w:r>
        <w:rPr>
          <w:rFonts w:ascii="Times New Roman;serif" w:hAnsi="Times New Roman;serif"/>
          <w:b w:val="false"/>
          <w:color w:val="000000"/>
          <w:sz w:val="20"/>
        </w:rPr>
        <w:t xml:space="preserve">credit outstanding under the A&amp;R Credit Agreement. As of September 30, 2025, the Company had cash on hand of $4.7 million. </w:t>
      </w:r>
    </w:p>
    <w:p>
      <w:pPr>
        <w:pStyle w:val="TextBody"/>
        <w:bidi w:val="0"/>
        <w:spacing w:lineRule="auto" w:line="288" w:before="240" w:after="283"/>
        <w:jc w:val="both"/>
        <w:rPr/>
      </w:pPr>
      <w:r>
        <w:rPr>
          <w:rFonts w:ascii="Times New Roman;serif" w:hAnsi="Times New Roman;serif"/>
          <w:b w:val="false"/>
          <w:color w:val="000000"/>
          <w:sz w:val="20"/>
          <w:shd w:fill="FFFFFF" w:val="clear"/>
        </w:rPr>
        <w:t xml:space="preserve">The Company’s revolver, which had a balance of $109.8 million as of </w:t>
      </w:r>
      <w:r>
        <w:rPr>
          <w:rFonts w:ascii="Times New Roman;serif" w:hAnsi="Times New Roman;serif"/>
          <w:b w:val="false"/>
          <w:color w:val="000000"/>
          <w:sz w:val="20"/>
        </w:rPr>
        <w:t>September 30, 2025</w:t>
      </w:r>
      <w:r>
        <w:rPr>
          <w:rFonts w:ascii="Times New Roman;serif" w:hAnsi="Times New Roman;serif"/>
          <w:b w:val="false"/>
          <w:color w:val="000000"/>
          <w:sz w:val="20"/>
          <w:shd w:fill="FFFFFF" w:val="clear"/>
        </w:rPr>
        <w:t xml:space="preserve">, bore interest at rates between 7.99% and </w:t>
      </w:r>
      <w:r>
        <w:rPr>
          <w:rFonts w:ascii="Times New Roman;serif" w:hAnsi="Times New Roman;serif"/>
          <w:b w:val="false"/>
          <w:color w:val="000000"/>
          <w:sz w:val="20"/>
        </w:rPr>
        <w:t>10.25%</w:t>
      </w:r>
      <w:r>
        <w:rPr>
          <w:color w:val="000000"/>
          <w:shd w:fill="FFFFFF" w:val="clear"/>
        </w:rPr>
        <w:t xml:space="preserve"> </w:t>
      </w:r>
      <w:r>
        <w:rPr>
          <w:rFonts w:ascii="Times New Roman;serif" w:hAnsi="Times New Roman;serif"/>
          <w:b w:val="false"/>
          <w:color w:val="000000"/>
          <w:sz w:val="20"/>
          <w:shd w:fill="FFFFFF" w:val="clear"/>
        </w:rPr>
        <w:t xml:space="preserve">during the first </w:t>
      </w:r>
      <w:r>
        <w:rPr>
          <w:rFonts w:ascii="Times New Roman;serif" w:hAnsi="Times New Roman;serif"/>
          <w:b w:val="false"/>
          <w:color w:val="000000"/>
          <w:sz w:val="20"/>
        </w:rPr>
        <w:t>three quarters</w:t>
      </w:r>
      <w:r>
        <w:rPr>
          <w:color w:val="000000"/>
          <w:shd w:fill="FFFFFF" w:val="clear"/>
        </w:rPr>
        <w:t xml:space="preserve"> </w:t>
      </w:r>
      <w:r>
        <w:rPr>
          <w:rFonts w:ascii="Times New Roman;serif" w:hAnsi="Times New Roman;serif"/>
          <w:b w:val="false"/>
          <w:color w:val="000000"/>
          <w:sz w:val="20"/>
          <w:shd w:fill="FFFFFF" w:val="clear"/>
        </w:rPr>
        <w:t xml:space="preserve">of 2025. The Company’s swingline had a balance of </w:t>
      </w:r>
      <w:r>
        <w:rPr>
          <w:rFonts w:ascii="Times New Roman;serif" w:hAnsi="Times New Roman;serif"/>
          <w:b w:val="false"/>
          <w:color w:val="000000"/>
          <w:sz w:val="20"/>
        </w:rPr>
        <w:t>$0.0</w:t>
      </w:r>
      <w:r>
        <w:rPr>
          <w:color w:val="000000"/>
          <w:shd w:fill="FFFFFF" w:val="clear"/>
        </w:rPr>
        <w:t xml:space="preserve"> </w:t>
      </w:r>
      <w:r>
        <w:rPr>
          <w:rFonts w:ascii="Times New Roman;serif" w:hAnsi="Times New Roman;serif"/>
          <w:b w:val="false"/>
          <w:color w:val="000000"/>
          <w:sz w:val="20"/>
          <w:shd w:fill="FFFFFF" w:val="clear"/>
        </w:rPr>
        <w:t xml:space="preserve">as of </w:t>
      </w:r>
      <w:r>
        <w:rPr>
          <w:rFonts w:ascii="Times New Roman;serif" w:hAnsi="Times New Roman;serif"/>
          <w:b w:val="false"/>
          <w:color w:val="000000"/>
          <w:sz w:val="20"/>
        </w:rPr>
        <w:t>September 30, 2025</w:t>
      </w:r>
      <w:r>
        <w:rPr>
          <w:rFonts w:ascii="Times New Roman;serif" w:hAnsi="Times New Roman;serif"/>
          <w:b w:val="false"/>
          <w:color w:val="000000"/>
          <w:sz w:val="20"/>
          <w:shd w:fill="FFFFFF" w:val="clear"/>
        </w:rPr>
        <w:t xml:space="preserve">, and bore interest at 10.25% in the first </w:t>
      </w:r>
      <w:r>
        <w:rPr>
          <w:rFonts w:ascii="Times New Roman;serif" w:hAnsi="Times New Roman;serif"/>
          <w:b w:val="false"/>
          <w:color w:val="000000"/>
          <w:sz w:val="20"/>
        </w:rPr>
        <w:t>three quarters</w:t>
      </w:r>
      <w:r>
        <w:rPr>
          <w:color w:val="000000"/>
          <w:shd w:fill="FFFFFF" w:val="clear"/>
        </w:rPr>
        <w:t xml:space="preserve"> </w:t>
      </w:r>
      <w:r>
        <w:rPr>
          <w:rFonts w:ascii="Times New Roman;serif" w:hAnsi="Times New Roman;serif"/>
          <w:b w:val="false"/>
          <w:color w:val="000000"/>
          <w:sz w:val="20"/>
          <w:shd w:fill="FFFFFF" w:val="clear"/>
        </w:rPr>
        <w:t xml:space="preserve">of 2025. </w:t>
      </w:r>
    </w:p>
    <w:p>
      <w:pPr>
        <w:pStyle w:val="TextBody"/>
        <w:bidi w:val="0"/>
        <w:spacing w:before="0" w:after="0"/>
        <w:jc w:val="both"/>
        <w:rPr/>
      </w:pPr>
      <w:r>
        <w:rPr/>
      </w:r>
    </w:p>
    <w:p>
      <w:pPr>
        <w:pStyle w:val="TextBody"/>
        <w:bidi w:val="0"/>
        <w:spacing w:lineRule="auto" w:line="288" w:before="0" w:after="240"/>
        <w:jc w:val="both"/>
        <w:rPr/>
      </w:pPr>
      <w:r>
        <w:rPr>
          <w:rFonts w:ascii="Times New Roman;serif" w:hAnsi="Times New Roman;serif"/>
          <w:b w:val="false"/>
          <w:color w:val="000000"/>
          <w:sz w:val="20"/>
        </w:rPr>
        <w:t>The Company also maintains outstanding letters of credit to secure obligations under its workers’ compensation program and certain lease obligation</w:t>
      </w:r>
      <w:r>
        <w:rPr>
          <w:rFonts w:ascii="Times New Roman;serif" w:hAnsi="Times New Roman;serif"/>
          <w:b w:val="false"/>
          <w:color w:val="000000"/>
          <w:sz w:val="20"/>
          <w:shd w:fill="FFFFFF" w:val="clear"/>
        </w:rPr>
        <w:t xml:space="preserve">s. The Company was in compliance with all of its debt covenants as of September 30, 2025.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
                <wp:simplePos x="0" y="0"/>
                <wp:positionH relativeFrom="character">
                  <wp:align>left</wp:align>
                </wp:positionH>
                <wp:positionV relativeFrom="line">
                  <wp:posOffset>635</wp:posOffset>
                </wp:positionV>
                <wp:extent cx="6480175" cy="146685"/>
                <wp:effectExtent l="0" t="0" r="0" b="0"/>
                <wp:wrapNone/>
                <wp:docPr id="9" name="Frame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8</w:t>
                      </w:r>
                    </w:p>
                  </w:txbxContent>
                </v:textbox>
                <w10:wrap type="none"/>
              </v:rect>
            </w:pict>
          </mc:Fallback>
        </mc:AlternateContent>
      </w:r>
    </w:p>
    <w:p>
      <w:pPr>
        <w:pStyle w:val="TextBody"/>
        <w:bidi w:val="0"/>
        <w:spacing w:lineRule="auto" w:line="288" w:before="160" w:after="160"/>
        <w:jc w:val="left"/>
        <w:rPr/>
      </w:pPr>
      <w:hyperlink w:anchor="i0388035fcf6a4f6ca5f569f2895a7d6a_10">
        <w:r>
          <w:rPr>
            <w:rStyle w:val="InternetLink"/>
            <w:rFonts w:ascii="Times New Roman;serif" w:hAnsi="Times New Roman;serif"/>
            <w:b w:val="false"/>
            <w:color w:val="0000FF"/>
            <w:sz w:val="20"/>
            <w:u w:val="single"/>
          </w:rPr>
          <w:t>Table of Contents</w:t>
        </w:r>
      </w:hyperlink>
    </w:p>
    <w:p>
      <w:pPr>
        <w:pStyle w:val="TextBody"/>
        <w:bidi w:val="0"/>
        <w:spacing w:lineRule="auto" w:line="288" w:before="240" w:after="283"/>
        <w:jc w:val="both"/>
        <w:rPr>
          <w:rFonts w:ascii="Times New Roman;serif" w:hAnsi="Times New Roman;serif"/>
          <w:b/>
          <w:color w:val="000000"/>
          <w:sz w:val="20"/>
        </w:rPr>
      </w:pPr>
      <w:r>
        <w:rPr>
          <w:rFonts w:ascii="Times New Roman;serif" w:hAnsi="Times New Roman;serif"/>
          <w:b/>
          <w:color w:val="000000"/>
          <w:sz w:val="20"/>
        </w:rPr>
        <w:t>4. Fair Value Measurements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The carrying amounts of cash and cash equivalents, accounts receivable, accounts payable and all other current assets and liabilities approximate their fair values due to their short-term nature. The carrying amounts of borrowings approximate fair value as the line of credit, swingline and borrowings vary with market interest rates and negotiated terms and conditions are consistent with current market rates. The fair value of the Company’s line of credit and borrowings are measured using Level 2 inputs. </w:t>
      </w:r>
    </w:p>
    <w:p>
      <w:pPr>
        <w:pStyle w:val="TextBody"/>
        <w:bidi w:val="0"/>
        <w:spacing w:before="0" w:after="0"/>
        <w:jc w:val="both"/>
        <w:rPr/>
      </w:pPr>
      <w:r>
        <w:rPr/>
      </w:r>
    </w:p>
    <w:p>
      <w:pPr>
        <w:pStyle w:val="TextBody"/>
        <w:bidi w:val="0"/>
        <w:spacing w:lineRule="auto" w:line="288" w:before="0" w:after="0"/>
        <w:jc w:val="both"/>
        <w:rPr/>
      </w:pPr>
      <w:r>
        <w:rPr>
          <w:rFonts w:ascii="Times New Roman;serif" w:hAnsi="Times New Roman;serif"/>
          <w:b/>
          <w:i/>
          <w:color w:val="000000"/>
          <w:sz w:val="20"/>
        </w:rPr>
        <w:t>Assets and Liabilities Measured at Fair Value on a Nonrecurring Basis</w:t>
      </w:r>
      <w:r>
        <w:rPr>
          <w:color w:val="000000"/>
        </w:rPr>
        <w:t xml:space="preserve"> </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Assets recognized or disclosed at fair value in the condensed consolidated financial statements on a non-recurring basis include items such as leasehold improvements, property and equipment, operating lease assets, goodwill and other intangible assets. These assets are measured at fair value if determined to be impaired. </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Adjustments to the fair value of assets measured at fair value on a non-recurring basis as of September 30, 2025 and October 1, 2024 are discussed in Note 7, Restaurant Impairments, Closure Costs and Asset Disposals. </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both"/>
        <w:rPr>
          <w:rFonts w:ascii="Times New Roman;serif" w:hAnsi="Times New Roman;serif"/>
          <w:b/>
          <w:color w:val="000000"/>
          <w:sz w:val="20"/>
        </w:rPr>
      </w:pPr>
      <w:r>
        <w:rPr>
          <w:rFonts w:ascii="Times New Roman;serif" w:hAnsi="Times New Roman;serif"/>
          <w:b/>
          <w:color w:val="000000"/>
          <w:sz w:val="20"/>
        </w:rPr>
        <w:t>5. Income Taxes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The following table presents the Company’s provision for income taxes (in thousands):</w:t>
      </w:r>
    </w:p>
    <w:tbl>
      <w:tblPr>
        <w:tblW w:w="9036" w:type="dxa"/>
        <w:jc w:val="center"/>
        <w:tblInd w:w="0" w:type="dxa"/>
        <w:tblLayout w:type="fixed"/>
        <w:tblCellMar>
          <w:top w:w="28" w:type="dxa"/>
          <w:left w:w="28" w:type="dxa"/>
          <w:bottom w:w="28" w:type="dxa"/>
          <w:right w:w="28" w:type="dxa"/>
        </w:tblCellMar>
      </w:tblPr>
      <w:tblGrid>
        <w:gridCol w:w="1243"/>
        <w:gridCol w:w="1094"/>
        <w:gridCol w:w="1098"/>
        <w:gridCol w:w="109"/>
        <w:gridCol w:w="109"/>
        <w:gridCol w:w="109"/>
        <w:gridCol w:w="326"/>
        <w:gridCol w:w="395"/>
        <w:gridCol w:w="419"/>
        <w:gridCol w:w="109"/>
        <w:gridCol w:w="109"/>
        <w:gridCol w:w="109"/>
        <w:gridCol w:w="211"/>
        <w:gridCol w:w="541"/>
        <w:gridCol w:w="271"/>
        <w:gridCol w:w="109"/>
        <w:gridCol w:w="109"/>
        <w:gridCol w:w="109"/>
        <w:gridCol w:w="285"/>
        <w:gridCol w:w="488"/>
        <w:gridCol w:w="366"/>
        <w:gridCol w:w="118"/>
        <w:gridCol w:w="118"/>
        <w:gridCol w:w="118"/>
        <w:gridCol w:w="229"/>
        <w:gridCol w:w="392"/>
        <w:gridCol w:w="343"/>
      </w:tblGrid>
      <w:tr>
        <w:trPr/>
        <w:tc>
          <w:tcPr>
            <w:tcW w:w="1243" w:type="dxa"/>
            <w:tcBorders/>
            <w:vAlign w:val="center"/>
          </w:tcPr>
          <w:p>
            <w:pPr>
              <w:pStyle w:val="TableContents"/>
              <w:bidi w:val="0"/>
              <w:spacing w:before="0" w:after="283"/>
              <w:jc w:val="left"/>
              <w:rPr>
                <w:sz w:val="4"/>
                <w:szCs w:val="4"/>
              </w:rPr>
            </w:pPr>
            <w:r>
              <w:rPr>
                <w:sz w:val="4"/>
                <w:szCs w:val="4"/>
              </w:rPr>
            </w:r>
          </w:p>
        </w:tc>
        <w:tc>
          <w:tcPr>
            <w:tcW w:w="1094" w:type="dxa"/>
            <w:tcBorders/>
            <w:vAlign w:val="center"/>
          </w:tcPr>
          <w:p>
            <w:pPr>
              <w:pStyle w:val="TableContents"/>
              <w:bidi w:val="0"/>
              <w:spacing w:before="0" w:after="283"/>
              <w:jc w:val="left"/>
              <w:rPr>
                <w:sz w:val="4"/>
                <w:szCs w:val="4"/>
              </w:rPr>
            </w:pPr>
            <w:r>
              <w:rPr>
                <w:sz w:val="4"/>
                <w:szCs w:val="4"/>
              </w:rPr>
            </w:r>
          </w:p>
        </w:tc>
        <w:tc>
          <w:tcPr>
            <w:tcW w:w="109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6" w:type="dxa"/>
            <w:tcBorders/>
            <w:vAlign w:val="center"/>
          </w:tcPr>
          <w:p>
            <w:pPr>
              <w:pStyle w:val="TableContents"/>
              <w:bidi w:val="0"/>
              <w:spacing w:before="0" w:after="283"/>
              <w:jc w:val="left"/>
              <w:rPr>
                <w:sz w:val="4"/>
                <w:szCs w:val="4"/>
              </w:rPr>
            </w:pPr>
            <w:r>
              <w:rPr>
                <w:sz w:val="4"/>
                <w:szCs w:val="4"/>
              </w:rPr>
            </w:r>
          </w:p>
        </w:tc>
        <w:tc>
          <w:tcPr>
            <w:tcW w:w="395" w:type="dxa"/>
            <w:tcBorders/>
            <w:vAlign w:val="center"/>
          </w:tcPr>
          <w:p>
            <w:pPr>
              <w:pStyle w:val="TableContents"/>
              <w:bidi w:val="0"/>
              <w:spacing w:before="0" w:after="283"/>
              <w:jc w:val="left"/>
              <w:rPr>
                <w:sz w:val="4"/>
                <w:szCs w:val="4"/>
              </w:rPr>
            </w:pPr>
            <w:r>
              <w:rPr>
                <w:sz w:val="4"/>
                <w:szCs w:val="4"/>
              </w:rPr>
            </w:r>
          </w:p>
        </w:tc>
        <w:tc>
          <w:tcPr>
            <w:tcW w:w="41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41"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5" w:type="dxa"/>
            <w:tcBorders/>
            <w:vAlign w:val="center"/>
          </w:tcPr>
          <w:p>
            <w:pPr>
              <w:pStyle w:val="TableContents"/>
              <w:bidi w:val="0"/>
              <w:spacing w:before="0" w:after="283"/>
              <w:jc w:val="left"/>
              <w:rPr>
                <w:sz w:val="4"/>
                <w:szCs w:val="4"/>
              </w:rPr>
            </w:pPr>
            <w:r>
              <w:rPr>
                <w:sz w:val="4"/>
                <w:szCs w:val="4"/>
              </w:rPr>
            </w:r>
          </w:p>
        </w:tc>
        <w:tc>
          <w:tcPr>
            <w:tcW w:w="488" w:type="dxa"/>
            <w:tcBorders/>
            <w:vAlign w:val="center"/>
          </w:tcPr>
          <w:p>
            <w:pPr>
              <w:pStyle w:val="TableContents"/>
              <w:bidi w:val="0"/>
              <w:spacing w:before="0" w:after="283"/>
              <w:jc w:val="left"/>
              <w:rPr>
                <w:sz w:val="4"/>
                <w:szCs w:val="4"/>
              </w:rPr>
            </w:pPr>
            <w:r>
              <w:rPr>
                <w:sz w:val="4"/>
                <w:szCs w:val="4"/>
              </w:rPr>
            </w:r>
          </w:p>
        </w:tc>
        <w:tc>
          <w:tcPr>
            <w:tcW w:w="366"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229" w:type="dxa"/>
            <w:tcBorders/>
            <w:vAlign w:val="center"/>
          </w:tcPr>
          <w:p>
            <w:pPr>
              <w:pStyle w:val="TableContents"/>
              <w:bidi w:val="0"/>
              <w:spacing w:before="0" w:after="283"/>
              <w:jc w:val="left"/>
              <w:rPr>
                <w:sz w:val="4"/>
                <w:szCs w:val="4"/>
              </w:rPr>
            </w:pPr>
            <w:r>
              <w:rPr>
                <w:sz w:val="4"/>
                <w:szCs w:val="4"/>
              </w:rPr>
            </w:r>
          </w:p>
        </w:tc>
        <w:tc>
          <w:tcPr>
            <w:tcW w:w="392" w:type="dxa"/>
            <w:tcBorders/>
            <w:vAlign w:val="center"/>
          </w:tcPr>
          <w:p>
            <w:pPr>
              <w:pStyle w:val="TableContents"/>
              <w:bidi w:val="0"/>
              <w:spacing w:before="0" w:after="283"/>
              <w:jc w:val="left"/>
              <w:rPr>
                <w:sz w:val="4"/>
                <w:szCs w:val="4"/>
              </w:rPr>
            </w:pPr>
            <w:r>
              <w:rPr>
                <w:sz w:val="4"/>
                <w:szCs w:val="4"/>
              </w:rPr>
            </w:r>
          </w:p>
        </w:tc>
        <w:tc>
          <w:tcPr>
            <w:tcW w:w="343" w:type="dxa"/>
            <w:tcBorders/>
            <w:vAlign w:val="center"/>
          </w:tcPr>
          <w:p>
            <w:pPr>
              <w:pStyle w:val="TableContents"/>
              <w:bidi w:val="0"/>
              <w:spacing w:before="0" w:after="283"/>
              <w:jc w:val="left"/>
              <w:rPr>
                <w:sz w:val="4"/>
                <w:szCs w:val="4"/>
              </w:rPr>
            </w:pPr>
            <w:r>
              <w:rPr>
                <w:sz w:val="4"/>
                <w:szCs w:val="4"/>
              </w:rPr>
            </w:r>
          </w:p>
        </w:tc>
      </w:tr>
      <w:tr>
        <w:trPr/>
        <w:tc>
          <w:tcPr>
            <w:tcW w:w="34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90"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Fiscal Quarter Ended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7"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Three Fiscal Quarters Ended</w:t>
            </w:r>
          </w:p>
        </w:tc>
      </w:tr>
      <w:tr>
        <w:trPr/>
        <w:tc>
          <w:tcPr>
            <w:tcW w:w="34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September 30,</w:t>
              <w:b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October 1,</w:t>
              <w:b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September 30,</w:t>
              <w:br/>
              <w:t>2025</w:t>
            </w:r>
          </w:p>
        </w:tc>
        <w:tc>
          <w:tcPr>
            <w:tcW w:w="35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October 1,</w:t>
              <w:br/>
              <w:t>2024</w:t>
            </w:r>
          </w:p>
        </w:tc>
      </w:tr>
      <w:tr>
        <w:trPr/>
        <w:tc>
          <w:tcPr>
            <w:tcW w:w="34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shd w:fill="CCEEFF" w:val="clear"/>
              </w:rPr>
            </w:pPr>
            <w:r>
              <w:rPr>
                <w:rFonts w:ascii="Times New Roman;serif" w:hAnsi="Times New Roman;serif"/>
                <w:b w:val="false"/>
                <w:color w:val="000000"/>
                <w:sz w:val="20"/>
                <w:shd w:fill="CCEEFF" w:val="clear"/>
              </w:rPr>
              <w:t>Provision for (benefit from) income taxes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39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5 </w:t>
            </w:r>
          </w:p>
        </w:tc>
        <w:tc>
          <w:tcPr>
            <w:tcW w:w="41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4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(127)</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8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49 </w:t>
            </w:r>
          </w:p>
        </w:tc>
        <w:tc>
          <w:tcPr>
            <w:tcW w:w="36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39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48 </w:t>
            </w:r>
          </w:p>
        </w:tc>
        <w:tc>
          <w:tcPr>
            <w:tcW w:w="34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Effective income tax rate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(0.1)</w:t>
            </w:r>
          </w:p>
        </w:tc>
        <w:tc>
          <w:tcPr>
            <w:tcW w:w="419"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1.8 </w:t>
            </w:r>
          </w:p>
        </w:tc>
        <w:tc>
          <w:tcPr>
            <w:tcW w:w="27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3"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(0.1)</w:t>
            </w:r>
          </w:p>
        </w:tc>
        <w:tc>
          <w:tcPr>
            <w:tcW w:w="36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(0.2)</w:t>
            </w:r>
          </w:p>
        </w:tc>
        <w:tc>
          <w:tcPr>
            <w:tcW w:w="343"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bl>
    <w:p>
      <w:pPr>
        <w:pStyle w:val="TextBody"/>
        <w:bidi w:val="0"/>
        <w:spacing w:before="0" w:after="0"/>
        <w:ind w:left="0" w:right="0" w:firstLine="360"/>
        <w:jc w:val="both"/>
        <w:rPr/>
      </w:pPr>
      <w:r>
        <w:rPr/>
      </w:r>
    </w:p>
    <w:p>
      <w:pPr>
        <w:pStyle w:val="TextBody"/>
        <w:bidi w:val="0"/>
        <w:spacing w:lineRule="auto" w:line="288" w:before="0" w:after="0"/>
        <w:jc w:val="both"/>
        <w:rPr/>
      </w:pPr>
      <w:r>
        <w:rPr>
          <w:rFonts w:ascii="Times New Roman;serif" w:hAnsi="Times New Roman;serif"/>
          <w:b w:val="false"/>
          <w:color w:val="000000"/>
          <w:sz w:val="20"/>
          <w:shd w:fill="FFFFFF" w:val="clear"/>
        </w:rPr>
        <w:t xml:space="preserve">The effective tax rate for the third quarter and the first </w:t>
      </w:r>
      <w:r>
        <w:rPr>
          <w:rFonts w:ascii="Times New Roman;serif" w:hAnsi="Times New Roman;serif"/>
          <w:b w:val="false"/>
          <w:color w:val="000000"/>
          <w:sz w:val="20"/>
        </w:rPr>
        <w:t>three quarters</w:t>
      </w:r>
      <w:r>
        <w:rPr>
          <w:color w:val="000000"/>
          <w:shd w:fill="FFFFFF" w:val="clear"/>
        </w:rPr>
        <w:t xml:space="preserve"> </w:t>
      </w:r>
      <w:r>
        <w:rPr>
          <w:rFonts w:ascii="Times New Roman;serif" w:hAnsi="Times New Roman;serif"/>
          <w:b w:val="false"/>
          <w:color w:val="000000"/>
          <w:sz w:val="20"/>
          <w:shd w:fill="FFFFFF" w:val="clear"/>
        </w:rPr>
        <w:t xml:space="preserve">of 2025 and 2024, reflects the impact of the previously recorded valuation allowance. For the remainder of fiscal 2025, the Company does not anticipate material income tax expense or benefit as a result of the valuation allowance recorded. The </w:t>
      </w:r>
      <w:r>
        <w:rPr>
          <w:rFonts w:ascii="Times New Roman;serif" w:hAnsi="Times New Roman;serif"/>
          <w:b w:val="false"/>
          <w:color w:val="000000"/>
          <w:sz w:val="20"/>
        </w:rPr>
        <w:t>Company will maintain the valuation allowance against deferred tax assets until there is sufficient evidence to support a full or partial reversal. The reversal of a previously recorded valuation allowance will generally result in a benefit from income tax.</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On July 4, 2025, the United States Congress enacted H.R.1, commonly known as the One Big Beautiful Bill Act, which introduces a wide range of tax reform measures. These include extensions and modifications of key provisions from the Tax Cuts and Jobs Act, as well as changes to rules allowing accelerated tax deductions for qualified property and research expenditures. The legislation includes multiple effective dates, with certain provisions taking effect in 2025 and others phased in through 2027. While we are continuing to evaluate the full impact of the legislation on our estimated annual effective tax rate and cash tax position, we do not currently expect it to have a material effect on our financial statements, tax provisions, or cash tax position. We will continue to monitor forthcoming administrative guidance and regulatory developments that may further clarify the implementation of the provisions.</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both"/>
        <w:rPr>
          <w:rFonts w:ascii="Times New Roman;serif" w:hAnsi="Times New Roman;serif"/>
          <w:b/>
          <w:color w:val="000000"/>
          <w:sz w:val="20"/>
        </w:rPr>
      </w:pPr>
      <w:r>
        <w:rPr>
          <w:rFonts w:ascii="Times New Roman;serif" w:hAnsi="Times New Roman;serif"/>
          <w:b/>
          <w:color w:val="000000"/>
          <w:sz w:val="20"/>
        </w:rPr>
        <w:t>6. Stock-Based Compensation</w:t>
      </w:r>
    </w:p>
    <w:p>
      <w:pPr>
        <w:pStyle w:val="TextBody"/>
        <w:bidi w:val="0"/>
        <w:spacing w:before="0" w:after="0"/>
        <w:jc w:val="both"/>
        <w:rPr/>
      </w:pPr>
      <w:r>
        <w:rPr/>
      </w:r>
    </w:p>
    <w:p>
      <w:pPr>
        <w:pStyle w:val="TextBody"/>
        <w:bidi w:val="0"/>
        <w:spacing w:lineRule="auto" w:line="288" w:before="0" w:after="0"/>
        <w:jc w:val="both"/>
        <w:rPr/>
      </w:pPr>
      <w:r>
        <w:rPr>
          <w:rFonts w:ascii="Times New Roman;serif" w:hAnsi="Times New Roman;serif"/>
          <w:b w:val="false"/>
          <w:color w:val="000000"/>
          <w:sz w:val="20"/>
        </w:rPr>
        <w:t xml:space="preserve">In May of 2023, the Company’s stockholders approved the 2023 Stock Incentive Plan (the “2023 Plan”). The 2023 Plan authorizes the grant of non-qualified stock options, incentive stock options, stock appreciation rights, restricted stock, restricted stock units (“RSUs”), performance share units and incentive bonuses to </w:t>
      </w:r>
      <w:r>
        <w:rPr>
          <w:rFonts w:ascii="Times New Roman;serif" w:hAnsi="Times New Roman;serif"/>
          <w:b w:val="false"/>
          <w:color w:val="000000"/>
          <w:sz w:val="20"/>
          <w:shd w:fill="FFFFFF" w:val="clear"/>
        </w:rPr>
        <w:t xml:space="preserve">employees, officers, non-employee directors and other service providers, as applicable. As of September 30, 2025, approximately </w:t>
      </w:r>
      <w:r>
        <w:rPr>
          <w:rFonts w:ascii="Times New Roman;serif" w:hAnsi="Times New Roman;serif"/>
          <w:b w:val="false"/>
          <w:color w:val="000000"/>
          <w:sz w:val="20"/>
        </w:rPr>
        <w:t>3.1 million</w:t>
      </w:r>
      <w:r>
        <w:rPr>
          <w:color w:val="000000"/>
          <w:shd w:fill="FFFFFF" w:val="clear"/>
        </w:rPr>
        <w:t xml:space="preserve"> </w:t>
      </w:r>
      <w:r>
        <w:rPr>
          <w:rFonts w:ascii="Times New Roman;serif" w:hAnsi="Times New Roman;serif"/>
          <w:b w:val="false"/>
          <w:color w:val="000000"/>
          <w:sz w:val="20"/>
          <w:shd w:fill="FFFFFF" w:val="clear"/>
        </w:rPr>
        <w:t xml:space="preserve">share-based awards were available to be granted under the 2023 Plan. In July of 2024, the Company’s Board of Directors adopted the 2024 Inducement Plan (the “Inducement Plan”). The Inducement Plan provides for the potential grant of options, stock appreciation rights, restricted stock and restricted stock units, any of which may be performance-based, and for incentive bonuses for certain newly hired employees. As of September 30, 2025, </w:t>
      </w:r>
      <w:r>
        <w:rPr>
          <w:rFonts w:ascii="Times New Roman;serif" w:hAnsi="Times New Roman;serif"/>
          <w:b w:val="false"/>
          <w:color w:val="000000"/>
          <w:sz w:val="20"/>
        </w:rPr>
        <w:t>266,351</w:t>
      </w:r>
      <w:r>
        <w:rPr>
          <w:color w:val="000000"/>
          <w:shd w:fill="FFFFFF" w:val="clear"/>
        </w:rPr>
        <w:t xml:space="preserve"> </w:t>
      </w:r>
      <w:r>
        <w:rPr>
          <w:rFonts w:ascii="Times New Roman;serif" w:hAnsi="Times New Roman;serif"/>
          <w:b w:val="false"/>
          <w:color w:val="000000"/>
          <w:sz w:val="20"/>
          <w:shd w:fill="FFFFFF" w:val="clear"/>
        </w:rPr>
        <w:t>share-based awards were available to be granted under the Inducement Plan.</w:t>
      </w:r>
    </w:p>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1">
                <wp:simplePos x="0" y="0"/>
                <wp:positionH relativeFrom="character">
                  <wp:align>left</wp:align>
                </wp:positionH>
                <wp:positionV relativeFrom="line">
                  <wp:posOffset>635</wp:posOffset>
                </wp:positionV>
                <wp:extent cx="6480175" cy="146685"/>
                <wp:effectExtent l="0" t="0" r="0" b="0"/>
                <wp:wrapNone/>
                <wp:docPr id="10" name="Frame1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9</w:t>
                      </w:r>
                    </w:p>
                  </w:txbxContent>
                </v:textbox>
                <w10:wrap type="none"/>
              </v:rect>
            </w:pict>
          </mc:Fallback>
        </mc:AlternateContent>
      </w:r>
    </w:p>
    <w:p>
      <w:pPr>
        <w:pStyle w:val="TextBody"/>
        <w:bidi w:val="0"/>
        <w:spacing w:lineRule="auto" w:line="288" w:before="160" w:after="160"/>
        <w:jc w:val="left"/>
        <w:rPr/>
      </w:pPr>
      <w:hyperlink w:anchor="i0388035fcf6a4f6ca5f569f2895a7d6a_10">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 xml:space="preserve">The following table shows total stock-based compensation expense (in thousands): </w:t>
      </w:r>
    </w:p>
    <w:tbl>
      <w:tblPr>
        <w:tblW w:w="9084" w:type="dxa"/>
        <w:jc w:val="center"/>
        <w:tblInd w:w="0" w:type="dxa"/>
        <w:tblLayout w:type="fixed"/>
        <w:tblCellMar>
          <w:top w:w="28" w:type="dxa"/>
          <w:left w:w="28" w:type="dxa"/>
          <w:bottom w:w="28" w:type="dxa"/>
          <w:right w:w="28" w:type="dxa"/>
        </w:tblCellMar>
      </w:tblPr>
      <w:tblGrid>
        <w:gridCol w:w="1435"/>
        <w:gridCol w:w="1259"/>
        <w:gridCol w:w="1266"/>
        <w:gridCol w:w="257"/>
        <w:gridCol w:w="750"/>
        <w:gridCol w:w="132"/>
        <w:gridCol w:w="109"/>
        <w:gridCol w:w="109"/>
        <w:gridCol w:w="109"/>
        <w:gridCol w:w="237"/>
        <w:gridCol w:w="525"/>
        <w:gridCol w:w="122"/>
        <w:gridCol w:w="109"/>
        <w:gridCol w:w="109"/>
        <w:gridCol w:w="109"/>
        <w:gridCol w:w="257"/>
        <w:gridCol w:w="750"/>
        <w:gridCol w:w="132"/>
        <w:gridCol w:w="109"/>
        <w:gridCol w:w="109"/>
        <w:gridCol w:w="109"/>
        <w:gridCol w:w="211"/>
        <w:gridCol w:w="616"/>
        <w:gridCol w:w="154"/>
      </w:tblGrid>
      <w:tr>
        <w:trPr/>
        <w:tc>
          <w:tcPr>
            <w:tcW w:w="1435" w:type="dxa"/>
            <w:tcBorders/>
            <w:vAlign w:val="center"/>
          </w:tcPr>
          <w:p>
            <w:pPr>
              <w:pStyle w:val="TableContents"/>
              <w:bidi w:val="0"/>
              <w:spacing w:before="0" w:after="283"/>
              <w:jc w:val="left"/>
              <w:rPr>
                <w:sz w:val="4"/>
                <w:szCs w:val="4"/>
              </w:rPr>
            </w:pPr>
            <w:r>
              <w:rPr>
                <w:sz w:val="4"/>
                <w:szCs w:val="4"/>
              </w:rPr>
            </w:r>
          </w:p>
        </w:tc>
        <w:tc>
          <w:tcPr>
            <w:tcW w:w="1259" w:type="dxa"/>
            <w:tcBorders/>
            <w:vAlign w:val="center"/>
          </w:tcPr>
          <w:p>
            <w:pPr>
              <w:pStyle w:val="TableContents"/>
              <w:bidi w:val="0"/>
              <w:spacing w:before="0" w:after="283"/>
              <w:jc w:val="left"/>
              <w:rPr>
                <w:sz w:val="4"/>
                <w:szCs w:val="4"/>
              </w:rPr>
            </w:pPr>
            <w:r>
              <w:rPr>
                <w:sz w:val="4"/>
                <w:szCs w:val="4"/>
              </w:rPr>
            </w:r>
          </w:p>
        </w:tc>
        <w:tc>
          <w:tcPr>
            <w:tcW w:w="1266" w:type="dxa"/>
            <w:tcBorders/>
            <w:vAlign w:val="center"/>
          </w:tcPr>
          <w:p>
            <w:pPr>
              <w:pStyle w:val="TableContents"/>
              <w:bidi w:val="0"/>
              <w:spacing w:before="0" w:after="283"/>
              <w:jc w:val="left"/>
              <w:rPr>
                <w:sz w:val="4"/>
                <w:szCs w:val="4"/>
              </w:rPr>
            </w:pPr>
            <w:r>
              <w:rPr>
                <w:sz w:val="4"/>
                <w:szCs w:val="4"/>
              </w:rPr>
            </w:r>
          </w:p>
        </w:tc>
        <w:tc>
          <w:tcPr>
            <w:tcW w:w="257" w:type="dxa"/>
            <w:tcBorders/>
            <w:vAlign w:val="center"/>
          </w:tcPr>
          <w:p>
            <w:pPr>
              <w:pStyle w:val="TableContents"/>
              <w:bidi w:val="0"/>
              <w:spacing w:before="0" w:after="283"/>
              <w:jc w:val="left"/>
              <w:rPr>
                <w:sz w:val="4"/>
                <w:szCs w:val="4"/>
              </w:rPr>
            </w:pPr>
            <w:r>
              <w:rPr>
                <w:sz w:val="4"/>
                <w:szCs w:val="4"/>
              </w:rPr>
            </w:r>
          </w:p>
        </w:tc>
        <w:tc>
          <w:tcPr>
            <w:tcW w:w="750"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7" w:type="dxa"/>
            <w:tcBorders/>
            <w:vAlign w:val="center"/>
          </w:tcPr>
          <w:p>
            <w:pPr>
              <w:pStyle w:val="TableContents"/>
              <w:bidi w:val="0"/>
              <w:spacing w:before="0" w:after="283"/>
              <w:jc w:val="left"/>
              <w:rPr>
                <w:sz w:val="4"/>
                <w:szCs w:val="4"/>
              </w:rPr>
            </w:pPr>
            <w:r>
              <w:rPr>
                <w:sz w:val="4"/>
                <w:szCs w:val="4"/>
              </w:rPr>
            </w:r>
          </w:p>
        </w:tc>
        <w:tc>
          <w:tcPr>
            <w:tcW w:w="525" w:type="dxa"/>
            <w:tcBorders/>
            <w:vAlign w:val="center"/>
          </w:tcPr>
          <w:p>
            <w:pPr>
              <w:pStyle w:val="TableContents"/>
              <w:bidi w:val="0"/>
              <w:spacing w:before="0" w:after="283"/>
              <w:jc w:val="left"/>
              <w:rPr>
                <w:sz w:val="4"/>
                <w:szCs w:val="4"/>
              </w:rPr>
            </w:pPr>
            <w:r>
              <w:rPr>
                <w:sz w:val="4"/>
                <w:szCs w:val="4"/>
              </w:rPr>
            </w:r>
          </w:p>
        </w:tc>
        <w:tc>
          <w:tcPr>
            <w:tcW w:w="12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7" w:type="dxa"/>
            <w:tcBorders/>
            <w:vAlign w:val="center"/>
          </w:tcPr>
          <w:p>
            <w:pPr>
              <w:pStyle w:val="TableContents"/>
              <w:bidi w:val="0"/>
              <w:spacing w:before="0" w:after="283"/>
              <w:jc w:val="left"/>
              <w:rPr>
                <w:sz w:val="4"/>
                <w:szCs w:val="4"/>
              </w:rPr>
            </w:pPr>
            <w:r>
              <w:rPr>
                <w:sz w:val="4"/>
                <w:szCs w:val="4"/>
              </w:rPr>
            </w:r>
          </w:p>
        </w:tc>
        <w:tc>
          <w:tcPr>
            <w:tcW w:w="750"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9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50"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Fiscal Quarter Ended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7"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Three Fiscal Quarters Ended</w:t>
            </w:r>
          </w:p>
        </w:tc>
      </w:tr>
      <w:tr>
        <w:trPr/>
        <w:tc>
          <w:tcPr>
            <w:tcW w:w="39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September 30,</w:t>
              <w:b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October 1,</w:t>
              <w:b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September 30,</w:t>
              <w:b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October 1,</w:t>
              <w:br/>
              <w:t>2024</w:t>
            </w:r>
          </w:p>
        </w:tc>
      </w:tr>
      <w:tr>
        <w:trPr/>
        <w:tc>
          <w:tcPr>
            <w:tcW w:w="39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Stock-based compensation expense </w:t>
            </w:r>
          </w:p>
        </w:tc>
        <w:tc>
          <w:tcPr>
            <w:tcW w:w="25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5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1,133 </w:t>
            </w:r>
          </w:p>
        </w:tc>
        <w:tc>
          <w:tcPr>
            <w:tcW w:w="13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2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811 </w:t>
            </w:r>
          </w:p>
        </w:tc>
        <w:tc>
          <w:tcPr>
            <w:tcW w:w="12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5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2,651 </w:t>
            </w:r>
          </w:p>
        </w:tc>
        <w:tc>
          <w:tcPr>
            <w:tcW w:w="13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3,345 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Capitalized stock-based compensation expense</w:t>
            </w:r>
          </w:p>
        </w:tc>
        <w:tc>
          <w:tcPr>
            <w:tcW w:w="25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5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2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10 </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5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18 </w:t>
            </w:r>
          </w:p>
        </w:tc>
        <w:tc>
          <w:tcPr>
            <w:tcW w:w="1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both"/>
        <w:rPr>
          <w:rFonts w:ascii="Times New Roman;serif" w:hAnsi="Times New Roman;serif"/>
          <w:b/>
          <w:color w:val="000000"/>
          <w:sz w:val="20"/>
        </w:rPr>
      </w:pPr>
      <w:r>
        <w:rPr>
          <w:rFonts w:ascii="Times New Roman;serif" w:hAnsi="Times New Roman;serif"/>
          <w:b/>
          <w:color w:val="000000"/>
          <w:sz w:val="20"/>
        </w:rPr>
        <w:t>7. Restaurant Impairments, Closure Costs and Asset Disposals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The following table presents restaurant impairments, closure costs and asset disposals (in thousands):</w:t>
      </w:r>
    </w:p>
    <w:tbl>
      <w:tblPr>
        <w:tblW w:w="8282" w:type="dxa"/>
        <w:jc w:val="center"/>
        <w:tblInd w:w="0" w:type="dxa"/>
        <w:tblLayout w:type="fixed"/>
        <w:tblCellMar>
          <w:top w:w="28" w:type="dxa"/>
          <w:left w:w="28" w:type="dxa"/>
          <w:bottom w:w="28" w:type="dxa"/>
          <w:right w:w="28" w:type="dxa"/>
        </w:tblCellMar>
      </w:tblPr>
      <w:tblGrid>
        <w:gridCol w:w="1087"/>
        <w:gridCol w:w="954"/>
        <w:gridCol w:w="959"/>
        <w:gridCol w:w="257"/>
        <w:gridCol w:w="750"/>
        <w:gridCol w:w="132"/>
        <w:gridCol w:w="109"/>
        <w:gridCol w:w="109"/>
        <w:gridCol w:w="109"/>
        <w:gridCol w:w="211"/>
        <w:gridCol w:w="616"/>
        <w:gridCol w:w="109"/>
        <w:gridCol w:w="109"/>
        <w:gridCol w:w="109"/>
        <w:gridCol w:w="109"/>
        <w:gridCol w:w="231"/>
        <w:gridCol w:w="790"/>
        <w:gridCol w:w="119"/>
        <w:gridCol w:w="109"/>
        <w:gridCol w:w="109"/>
        <w:gridCol w:w="109"/>
        <w:gridCol w:w="211"/>
        <w:gridCol w:w="721"/>
        <w:gridCol w:w="154"/>
      </w:tblGrid>
      <w:tr>
        <w:trPr/>
        <w:tc>
          <w:tcPr>
            <w:tcW w:w="1087" w:type="dxa"/>
            <w:tcBorders/>
            <w:vAlign w:val="center"/>
          </w:tcPr>
          <w:p>
            <w:pPr>
              <w:pStyle w:val="TableContents"/>
              <w:bidi w:val="0"/>
              <w:spacing w:before="0" w:after="283"/>
              <w:jc w:val="left"/>
              <w:rPr>
                <w:sz w:val="4"/>
                <w:szCs w:val="4"/>
              </w:rPr>
            </w:pPr>
            <w:r>
              <w:rPr>
                <w:sz w:val="4"/>
                <w:szCs w:val="4"/>
              </w:rPr>
            </w:r>
          </w:p>
        </w:tc>
        <w:tc>
          <w:tcPr>
            <w:tcW w:w="954" w:type="dxa"/>
            <w:tcBorders/>
            <w:vAlign w:val="center"/>
          </w:tcPr>
          <w:p>
            <w:pPr>
              <w:pStyle w:val="TableContents"/>
              <w:bidi w:val="0"/>
              <w:spacing w:before="0" w:after="283"/>
              <w:jc w:val="left"/>
              <w:rPr>
                <w:sz w:val="4"/>
                <w:szCs w:val="4"/>
              </w:rPr>
            </w:pPr>
            <w:r>
              <w:rPr>
                <w:sz w:val="4"/>
                <w:szCs w:val="4"/>
              </w:rPr>
            </w:r>
          </w:p>
        </w:tc>
        <w:tc>
          <w:tcPr>
            <w:tcW w:w="959" w:type="dxa"/>
            <w:tcBorders/>
            <w:vAlign w:val="center"/>
          </w:tcPr>
          <w:p>
            <w:pPr>
              <w:pStyle w:val="TableContents"/>
              <w:bidi w:val="0"/>
              <w:spacing w:before="0" w:after="283"/>
              <w:jc w:val="left"/>
              <w:rPr>
                <w:sz w:val="4"/>
                <w:szCs w:val="4"/>
              </w:rPr>
            </w:pPr>
            <w:r>
              <w:rPr>
                <w:sz w:val="4"/>
                <w:szCs w:val="4"/>
              </w:rPr>
            </w:r>
          </w:p>
        </w:tc>
        <w:tc>
          <w:tcPr>
            <w:tcW w:w="257" w:type="dxa"/>
            <w:tcBorders/>
            <w:vAlign w:val="center"/>
          </w:tcPr>
          <w:p>
            <w:pPr>
              <w:pStyle w:val="TableContents"/>
              <w:bidi w:val="0"/>
              <w:spacing w:before="0" w:after="283"/>
              <w:jc w:val="left"/>
              <w:rPr>
                <w:sz w:val="4"/>
                <w:szCs w:val="4"/>
              </w:rPr>
            </w:pPr>
            <w:r>
              <w:rPr>
                <w:sz w:val="4"/>
                <w:szCs w:val="4"/>
              </w:rPr>
            </w:r>
          </w:p>
        </w:tc>
        <w:tc>
          <w:tcPr>
            <w:tcW w:w="750"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sz w:val="4"/>
                <w:szCs w:val="4"/>
              </w:rPr>
            </w:pPr>
            <w:r>
              <w:rPr>
                <w:sz w:val="4"/>
                <w:szCs w:val="4"/>
              </w:rPr>
            </w:r>
          </w:p>
        </w:tc>
        <w:tc>
          <w:tcPr>
            <w:tcW w:w="790"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0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2"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Fiscal Quarter Ended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53"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Three Fiscal Quarters Ended</w:t>
            </w:r>
          </w:p>
        </w:tc>
      </w:tr>
      <w:tr>
        <w:trPr/>
        <w:tc>
          <w:tcPr>
            <w:tcW w:w="30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September 30,</w:t>
              <w:b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October 1,</w:t>
              <w:b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September 30,</w:t>
              <w:b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October 1,</w:t>
              <w:br/>
              <w:t>2024</w:t>
            </w:r>
          </w:p>
        </w:tc>
      </w:tr>
      <w:tr>
        <w:trPr/>
        <w:tc>
          <w:tcPr>
            <w:tcW w:w="300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 xml:space="preserve">Restaurant impairments </w:t>
            </w:r>
            <w:r>
              <w:rPr>
                <w:rFonts w:ascii="Times New Roman;serif" w:hAnsi="Times New Roman;serif"/>
                <w:b w:val="false"/>
                <w:color w:val="000000"/>
                <w:sz w:val="13"/>
              </w:rPr>
              <w:t>(1)</w:t>
            </w:r>
          </w:p>
        </w:tc>
        <w:tc>
          <w:tcPr>
            <w:tcW w:w="25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5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5,326 </w:t>
            </w:r>
          </w:p>
        </w:tc>
        <w:tc>
          <w:tcPr>
            <w:tcW w:w="13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17,813 </w:t>
            </w:r>
          </w:p>
        </w:tc>
        <w:tc>
          <w:tcPr>
            <w:tcW w:w="11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11,264 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0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 xml:space="preserve">Closure costs </w:t>
            </w:r>
            <w:r>
              <w:rPr>
                <w:rFonts w:ascii="Times New Roman;serif" w:hAnsi="Times New Roman;serif"/>
                <w:b w:val="false"/>
                <w:color w:val="000000"/>
                <w:sz w:val="13"/>
              </w:rPr>
              <w:t>(1)</w:t>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(658)</w:t>
            </w:r>
          </w:p>
        </w:tc>
        <w:tc>
          <w:tcPr>
            <w:tcW w:w="1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995 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(712)</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1,257 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Loss on disposal of assets and other</w:t>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1,013 </w:t>
            </w:r>
          </w:p>
        </w:tc>
        <w:tc>
          <w:tcPr>
            <w:tcW w:w="13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1,047 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3,524 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2,967 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0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5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5,681 </w:t>
            </w:r>
          </w:p>
        </w:tc>
        <w:tc>
          <w:tcPr>
            <w:tcW w:w="13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2,202 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20,625 </w:t>
            </w:r>
          </w:p>
        </w:tc>
        <w:tc>
          <w:tcPr>
            <w:tcW w:w="11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15,488 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ind w:left="0" w:right="0" w:hanging="450"/>
        <w:jc w:val="left"/>
        <w:rPr>
          <w:rFonts w:ascii="Times New Roman;serif" w:hAnsi="Times New Roman;serif"/>
          <w:b w:val="false"/>
          <w:color w:val="000000"/>
          <w:sz w:val="16"/>
        </w:rPr>
      </w:pPr>
      <w:r>
        <w:rPr>
          <w:rFonts w:ascii="Times New Roman;serif" w:hAnsi="Times New Roman;serif"/>
          <w:b w:val="false"/>
          <w:color w:val="000000"/>
          <w:sz w:val="16"/>
        </w:rPr>
        <w:t>_____________________________</w:t>
      </w:r>
    </w:p>
    <w:p>
      <w:pPr>
        <w:pStyle w:val="TextBody"/>
        <w:bidi w:val="0"/>
        <w:spacing w:lineRule="auto" w:line="288" w:before="0" w:after="0"/>
        <w:ind w:left="0" w:right="0" w:hanging="720"/>
        <w:jc w:val="both"/>
        <w:rPr>
          <w:rFonts w:ascii="Times New Roman;serif" w:hAnsi="Times New Roman;serif"/>
          <w:b w:val="false"/>
          <w:color w:val="000000"/>
          <w:sz w:val="16"/>
          <w:shd w:fill="FFFFFF" w:val="clear"/>
        </w:rPr>
      </w:pPr>
      <w:r>
        <w:rPr>
          <w:rFonts w:ascii="Times New Roman;serif" w:hAnsi="Times New Roman;serif"/>
          <w:b w:val="false"/>
          <w:color w:val="000000"/>
          <w:sz w:val="16"/>
          <w:shd w:fill="FFFFFF" w:val="clear"/>
        </w:rPr>
        <w:t xml:space="preserve">(1)Restaurant impairments and closure costs in all periods presented above include amounts related to restaurants previously impaired or closed. Closure costs in the first three quarters of 2024 include the impact of lease remeasurements related to the six Oregon restaurants sold to a franchisee in April of 2024. </w:t>
      </w:r>
    </w:p>
    <w:p>
      <w:pPr>
        <w:pStyle w:val="TextBody"/>
        <w:bidi w:val="0"/>
        <w:spacing w:before="0" w:after="0"/>
        <w:jc w:val="both"/>
        <w:rPr/>
      </w:pPr>
      <w:r>
        <w:rPr/>
      </w:r>
    </w:p>
    <w:p>
      <w:pPr>
        <w:pStyle w:val="TextBody"/>
        <w:bidi w:val="0"/>
        <w:spacing w:lineRule="auto" w:line="288" w:before="0" w:after="0"/>
        <w:jc w:val="both"/>
        <w:rPr/>
      </w:pPr>
      <w:r>
        <w:rPr>
          <w:rFonts w:ascii="Times New Roman;serif" w:hAnsi="Times New Roman;serif"/>
          <w:b w:val="false"/>
          <w:color w:val="000000"/>
          <w:sz w:val="20"/>
        </w:rPr>
        <w:t>Impairment is based on management’s current assessment of the expected future cash flows of a restaurant based on recent results and other specific market factors. Impairment expense is a Level 3 fair value measure and is determined by comparing the carrying value of restaurant assets to the estimated fair value of the rest</w:t>
      </w:r>
      <w:r>
        <w:rPr>
          <w:rFonts w:ascii="Times New Roman;serif" w:hAnsi="Times New Roman;serif"/>
          <w:b w:val="false"/>
          <w:color w:val="000000"/>
          <w:sz w:val="20"/>
          <w:shd w:fill="FFFFFF" w:val="clear"/>
        </w:rPr>
        <w:t xml:space="preserve">aurant assets at resale value, if any, and the </w:t>
      </w:r>
      <w:r>
        <w:rPr>
          <w:rFonts w:ascii="Times New Roman;serif" w:hAnsi="Times New Roman;serif"/>
          <w:b w:val="false"/>
          <w:color w:val="000000"/>
          <w:sz w:val="20"/>
        </w:rPr>
        <w:t xml:space="preserve">right-of-use asset based on a discounted cash flow analysis utilizing market lease rates. </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The Company has continued to review underperforming restaurants and, in the third quarter of 2025, identified a group of restaurants that the Company will seek to close on or before their next lease renewal dates, and are unlikely to recover the net book value of their assets. In the third quarter and the first three quarters of 2025, the Company recorded fixed asset impairment charges on nine and 24 restaurants, respectively, and wrote down lease related assets on nine and 20 restaurants, respectively. In the third quarter of 2024, the Company did not have any fixed asset impairment charges. In the first three quarters of 2024, the Company recorded fixed asset impairment charges on 12 restaurants. In the first quarter and first three quarters of 2024, the Company wrote down lease related assets for one and five restaurants, respectively. All periods include ongoing equipment costs for restaurants previously impaired.</w:t>
      </w:r>
    </w:p>
    <w:p>
      <w:pPr>
        <w:pStyle w:val="TextBody"/>
        <w:bidi w:val="0"/>
        <w:spacing w:before="0" w:after="0"/>
        <w:jc w:val="both"/>
        <w:rPr/>
      </w:pPr>
      <w:r>
        <w:rPr/>
      </w:r>
    </w:p>
    <w:p>
      <w:pPr>
        <w:pStyle w:val="TextBody"/>
        <w:bidi w:val="0"/>
        <w:spacing w:lineRule="auto" w:line="288" w:before="0" w:after="0"/>
        <w:jc w:val="both"/>
        <w:rPr/>
      </w:pPr>
      <w:r>
        <w:rPr>
          <w:rFonts w:ascii="Times New Roman;serif" w:hAnsi="Times New Roman;serif"/>
          <w:b w:val="false"/>
          <w:color w:val="000000"/>
          <w:sz w:val="20"/>
          <w:shd w:fill="FFFFFF" w:val="clear"/>
        </w:rPr>
        <w:t>The Company closed 15 restaurants during the third quarter of 2025 and closed 24 restaurants in the first three quarters of 2025. The Company closed five restaurants</w:t>
      </w:r>
      <w:r>
        <w:rPr>
          <w:color w:val="000000"/>
        </w:rPr>
        <w:t xml:space="preserve"> </w:t>
      </w:r>
      <w:r>
        <w:rPr>
          <w:rFonts w:ascii="Times New Roman;serif" w:hAnsi="Times New Roman;serif"/>
          <w:b w:val="false"/>
          <w:color w:val="000000"/>
          <w:sz w:val="20"/>
        </w:rPr>
        <w:t xml:space="preserve">in the third quarter of 2024 and had seven restaurant closures during the first three quarters of 2024. Both periods included ongoing expenses from restaurant closures during the period and in prior years. </w:t>
      </w:r>
      <w:r>
        <w:rPr>
          <w:rFonts w:ascii="Times New Roman;serif" w:hAnsi="Times New Roman;serif"/>
          <w:b w:val="false"/>
          <w:color w:val="000000"/>
          <w:sz w:val="20"/>
          <w:shd w:fill="FFFFFF" w:val="clear"/>
        </w:rPr>
        <w:t>These closure costs were offset by $0.6 million and $0.5 million</w:t>
      </w:r>
      <w:r>
        <w:rPr>
          <w:color w:val="000000"/>
        </w:rPr>
        <w:t xml:space="preserve"> </w:t>
      </w:r>
      <w:r>
        <w:rPr>
          <w:rFonts w:ascii="Times New Roman;serif" w:hAnsi="Times New Roman;serif"/>
          <w:b w:val="false"/>
          <w:color w:val="000000"/>
          <w:sz w:val="20"/>
          <w:shd w:fill="FFFFFF" w:val="clear"/>
        </w:rPr>
        <w:t>in net gains from lease asset remeasurements in the first three quarters of 2025 and 2024, respectively.</w:t>
      </w:r>
      <w:r>
        <w:rPr>
          <w:color w:val="000000"/>
        </w:rPr>
        <w:t xml:space="preserve"> </w:t>
      </w:r>
      <w:r>
        <w:rPr>
          <w:rFonts w:ascii="Times New Roman;serif" w:hAnsi="Times New Roman;serif"/>
          <w:b w:val="false"/>
          <w:color w:val="000000"/>
          <w:sz w:val="20"/>
        </w:rPr>
        <w:t xml:space="preserve">Additionally, the Company had a net gain of $1.8 million and a net loss of $0.8 million from early lease termination settlements during the first three quarters of 2025 and 2024, respectively. </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In the first three quarters of 2024, loss on disposal of assets and other includes a gain from the sale of six company-owned restaurants to a franchisee in April 2024 (the “DND Sale”). Based on the sales price, there was no write down of assets related to this transaction and a gain on sale of $0.5 million was recorded in the second quarter of 2024. Both periods include assets disposed in the normal course of business and sublease expense related to leases for which the Company remains obligated in connection with the divestiture of company-owned restaurants in previous years. </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both"/>
        <w:rPr>
          <w:rFonts w:ascii="Times New Roman;serif" w:hAnsi="Times New Roman;serif"/>
          <w:b/>
          <w:color w:val="000000"/>
          <w:sz w:val="20"/>
          <w:shd w:fill="FFFFFF" w:val="clear"/>
        </w:rPr>
      </w:pPr>
      <w:r>
        <w:rPr>
          <w:rFonts w:ascii="Times New Roman;serif" w:hAnsi="Times New Roman;serif"/>
          <w:b/>
          <w:color w:val="000000"/>
          <w:sz w:val="20"/>
          <w:shd w:fill="FFFFFF" w:val="clear"/>
        </w:rPr>
        <w:t>8. Earnings (Loss) Per Share</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Basic earnings (loss) per share (“EPS”) is calculated by dividing net income (loss) available to common stockholders by the weighted-average number of shares of common stock outstanding during each period. Diluted EPS is calculated using net income (loss) available to common stockholders divided by diluted weighted-average shares of common stock outstanding during each period. Potentially dilutive securities include shares of common stock underlying stock options, warrants and RSUs. Diluted EPS considers the impact of potentially dilutive securities except in periods in which there is a loss because the inclusion of the potential common shares would have an anti-dilutive effect.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2">
                <wp:simplePos x="0" y="0"/>
                <wp:positionH relativeFrom="character">
                  <wp:align>left</wp:align>
                </wp:positionH>
                <wp:positionV relativeFrom="line">
                  <wp:posOffset>635</wp:posOffset>
                </wp:positionV>
                <wp:extent cx="6480175" cy="146685"/>
                <wp:effectExtent l="0" t="0" r="0" b="0"/>
                <wp:wrapNone/>
                <wp:docPr id="11" name="Frame1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10</w:t>
                      </w:r>
                    </w:p>
                  </w:txbxContent>
                </v:textbox>
                <w10:wrap type="none"/>
              </v:rect>
            </w:pict>
          </mc:Fallback>
        </mc:AlternateContent>
      </w:r>
    </w:p>
    <w:p>
      <w:pPr>
        <w:pStyle w:val="TextBody"/>
        <w:bidi w:val="0"/>
        <w:spacing w:lineRule="auto" w:line="288" w:before="160" w:after="160"/>
        <w:jc w:val="left"/>
        <w:rPr/>
      </w:pPr>
      <w:hyperlink w:anchor="i0388035fcf6a4f6ca5f569f2895a7d6a_10">
        <w:r>
          <w:rPr>
            <w:rStyle w:val="InternetLink"/>
            <w:rFonts w:ascii="Times New Roman;serif" w:hAnsi="Times New Roman;serif"/>
            <w:b w:val="false"/>
            <w:color w:val="0000FF"/>
            <w:sz w:val="20"/>
            <w:u w:val="single"/>
          </w:rPr>
          <w:t>Table of Contents</w:t>
        </w:r>
      </w:hyperlink>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The following table sets forth the computations of basic and diluted EPS (in thousands, except share and per share data):</w:t>
      </w:r>
    </w:p>
    <w:tbl>
      <w:tblPr>
        <w:tblW w:w="9894" w:type="dxa"/>
        <w:jc w:val="left"/>
        <w:tblInd w:w="0" w:type="dxa"/>
        <w:tblLayout w:type="fixed"/>
        <w:tblCellMar>
          <w:top w:w="28" w:type="dxa"/>
          <w:left w:w="28" w:type="dxa"/>
          <w:bottom w:w="28" w:type="dxa"/>
          <w:right w:w="28" w:type="dxa"/>
        </w:tblCellMar>
      </w:tblPr>
      <w:tblGrid>
        <w:gridCol w:w="1603"/>
        <w:gridCol w:w="1325"/>
        <w:gridCol w:w="837"/>
        <w:gridCol w:w="109"/>
        <w:gridCol w:w="109"/>
        <w:gridCol w:w="109"/>
        <w:gridCol w:w="270"/>
        <w:gridCol w:w="811"/>
        <w:gridCol w:w="123"/>
        <w:gridCol w:w="109"/>
        <w:gridCol w:w="109"/>
        <w:gridCol w:w="109"/>
        <w:gridCol w:w="270"/>
        <w:gridCol w:w="811"/>
        <w:gridCol w:w="109"/>
        <w:gridCol w:w="109"/>
        <w:gridCol w:w="109"/>
        <w:gridCol w:w="109"/>
        <w:gridCol w:w="240"/>
        <w:gridCol w:w="841"/>
        <w:gridCol w:w="111"/>
        <w:gridCol w:w="109"/>
        <w:gridCol w:w="109"/>
        <w:gridCol w:w="109"/>
        <w:gridCol w:w="240"/>
        <w:gridCol w:w="841"/>
        <w:gridCol w:w="154"/>
      </w:tblGrid>
      <w:tr>
        <w:trPr/>
        <w:tc>
          <w:tcPr>
            <w:tcW w:w="1603" w:type="dxa"/>
            <w:tcBorders/>
            <w:vAlign w:val="center"/>
          </w:tcPr>
          <w:p>
            <w:pPr>
              <w:pStyle w:val="TableContents"/>
              <w:bidi w:val="0"/>
              <w:spacing w:before="0" w:after="283"/>
              <w:jc w:val="left"/>
              <w:rPr>
                <w:sz w:val="4"/>
                <w:szCs w:val="4"/>
              </w:rPr>
            </w:pPr>
            <w:r>
              <w:rPr>
                <w:sz w:val="4"/>
                <w:szCs w:val="4"/>
              </w:rPr>
            </w:r>
          </w:p>
        </w:tc>
        <w:tc>
          <w:tcPr>
            <w:tcW w:w="1325" w:type="dxa"/>
            <w:tcBorders/>
            <w:vAlign w:val="center"/>
          </w:tcPr>
          <w:p>
            <w:pPr>
              <w:pStyle w:val="TableContents"/>
              <w:bidi w:val="0"/>
              <w:spacing w:before="0" w:after="283"/>
              <w:jc w:val="left"/>
              <w:rPr>
                <w:sz w:val="4"/>
                <w:szCs w:val="4"/>
              </w:rPr>
            </w:pPr>
            <w:r>
              <w:rPr>
                <w:sz w:val="4"/>
                <w:szCs w:val="4"/>
              </w:rPr>
            </w:r>
          </w:p>
        </w:tc>
        <w:tc>
          <w:tcPr>
            <w:tcW w:w="83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0" w:type="dxa"/>
            <w:tcBorders/>
            <w:vAlign w:val="center"/>
          </w:tcPr>
          <w:p>
            <w:pPr>
              <w:pStyle w:val="TableContents"/>
              <w:bidi w:val="0"/>
              <w:spacing w:before="0" w:after="283"/>
              <w:jc w:val="left"/>
              <w:rPr>
                <w:sz w:val="4"/>
                <w:szCs w:val="4"/>
              </w:rPr>
            </w:pPr>
            <w:r>
              <w:rPr>
                <w:sz w:val="4"/>
                <w:szCs w:val="4"/>
              </w:rPr>
            </w:r>
          </w:p>
        </w:tc>
        <w:tc>
          <w:tcPr>
            <w:tcW w:w="811" w:type="dxa"/>
            <w:tcBorders/>
            <w:vAlign w:val="center"/>
          </w:tcPr>
          <w:p>
            <w:pPr>
              <w:pStyle w:val="TableContents"/>
              <w:bidi w:val="0"/>
              <w:spacing w:before="0" w:after="283"/>
              <w:jc w:val="left"/>
              <w:rPr>
                <w:sz w:val="4"/>
                <w:szCs w:val="4"/>
              </w:rPr>
            </w:pPr>
            <w:r>
              <w:rPr>
                <w:sz w:val="4"/>
                <w:szCs w:val="4"/>
              </w:rPr>
            </w:r>
          </w:p>
        </w:tc>
        <w:tc>
          <w:tcPr>
            <w:tcW w:w="12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0" w:type="dxa"/>
            <w:tcBorders/>
            <w:vAlign w:val="center"/>
          </w:tcPr>
          <w:p>
            <w:pPr>
              <w:pStyle w:val="TableContents"/>
              <w:bidi w:val="0"/>
              <w:spacing w:before="0" w:after="283"/>
              <w:jc w:val="left"/>
              <w:rPr>
                <w:sz w:val="4"/>
                <w:szCs w:val="4"/>
              </w:rPr>
            </w:pPr>
            <w:r>
              <w:rPr>
                <w:sz w:val="4"/>
                <w:szCs w:val="4"/>
              </w:rPr>
            </w:r>
          </w:p>
        </w:tc>
        <w:tc>
          <w:tcPr>
            <w:tcW w:w="8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765"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21"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Fiscal Quarter Ended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5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Three Fiscal Quarters Ended</w:t>
            </w:r>
          </w:p>
        </w:tc>
      </w:tr>
      <w:tr>
        <w:trPr/>
        <w:tc>
          <w:tcPr>
            <w:tcW w:w="3765"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September 30,</w:t>
              <w:b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October 1,</w:t>
              <w:b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September 30,</w:t>
              <w:b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October 1,</w:t>
              <w:br/>
              <w:t>2024</w:t>
            </w:r>
          </w:p>
        </w:tc>
      </w:tr>
      <w:tr>
        <w:trPr/>
        <w:tc>
          <w:tcPr>
            <w:tcW w:w="37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loss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(9,151)</w:t>
            </w:r>
          </w:p>
        </w:tc>
        <w:tc>
          <w:tcPr>
            <w:tcW w:w="12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(6,755)</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4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(35,760)</w:t>
            </w:r>
          </w:p>
        </w:tc>
        <w:tc>
          <w:tcPr>
            <w:tcW w:w="11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4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(26,520)</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Shares: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4" w:type="dxa"/>
            <w:gridSpan w:val="3"/>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3"/>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2"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5"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Basic weighted average shares outstanding</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46,458,845 </w:t>
            </w:r>
          </w:p>
        </w:tc>
        <w:tc>
          <w:tcPr>
            <w:tcW w:w="1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45,639,662 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46,134,976 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45,389,989 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Effect of dilutive securities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Diluted weighted average shares outstanding</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46,458,845 </w:t>
            </w:r>
          </w:p>
        </w:tc>
        <w:tc>
          <w:tcPr>
            <w:tcW w:w="12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45,639,662 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46,134,976 </w:t>
            </w:r>
          </w:p>
        </w:tc>
        <w:tc>
          <w:tcPr>
            <w:tcW w:w="11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45,389,989 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Loss per share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4" w:type="dxa"/>
            <w:gridSpan w:val="3"/>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3"/>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2"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5"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6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Basic and diluted loss per share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1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(0.20)</w:t>
            </w:r>
          </w:p>
        </w:tc>
        <w:tc>
          <w:tcPr>
            <w:tcW w:w="1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1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(0.15)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4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(0.78)</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4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(0.58)</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6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35"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288" w:before="0" w:after="0"/>
        <w:jc w:val="both"/>
        <w:rPr/>
      </w:pPr>
      <w:r>
        <w:rPr>
          <w:rFonts w:ascii="Times New Roman;serif" w:hAnsi="Times New Roman;serif"/>
          <w:b w:val="false"/>
          <w:color w:val="000000"/>
          <w:sz w:val="20"/>
        </w:rPr>
        <w:t>The Company computes the effect of dilutive securities using the treasury stock method and average market prices during the period. Potential common shares are excluded from the computation of diluted loss per share when the effect would be anti-dilutive. The shares issuable on the vesting or exercise of share-based awards that were excluded from the calculation of diluted loss per share because the effect of their inclusion would have been anti-dilu</w:t>
      </w:r>
      <w:r>
        <w:rPr>
          <w:rFonts w:ascii="Times New Roman;serif" w:hAnsi="Times New Roman;serif"/>
          <w:b w:val="false"/>
          <w:color w:val="000000"/>
          <w:sz w:val="20"/>
          <w:shd w:fill="FFFFFF" w:val="clear"/>
        </w:rPr>
        <w:t>tive totaled 4,456,817 and 4,035,933 for the third quarter of 2025 and 2024,</w:t>
      </w:r>
      <w:r>
        <w:rPr>
          <w:color w:val="000000"/>
        </w:rPr>
        <w:t xml:space="preserve"> </w:t>
      </w:r>
      <w:r>
        <w:rPr>
          <w:rFonts w:ascii="Times New Roman;serif" w:hAnsi="Times New Roman;serif"/>
          <w:b w:val="false"/>
          <w:color w:val="000000"/>
          <w:sz w:val="20"/>
        </w:rPr>
        <w:t xml:space="preserve">and totaled 4,227,031 and 3,743,581 for the first three quarters of 2025 and 2024, </w:t>
      </w:r>
      <w:r>
        <w:rPr>
          <w:rFonts w:ascii="Times New Roman;serif" w:hAnsi="Times New Roman;serif"/>
          <w:b w:val="false"/>
          <w:color w:val="000000"/>
          <w:sz w:val="20"/>
          <w:shd w:fill="FFFFFF" w:val="clear"/>
        </w:rPr>
        <w:t>respectively</w:t>
      </w:r>
      <w:r>
        <w:rPr>
          <w:rFonts w:ascii="Times New Roman;serif" w:hAnsi="Times New Roman;serif"/>
          <w:b w:val="false"/>
          <w:color w:val="000000"/>
          <w:sz w:val="20"/>
        </w:rPr>
        <w:t>.</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both"/>
        <w:rPr>
          <w:rFonts w:ascii="Times New Roman;serif" w:hAnsi="Times New Roman;serif"/>
          <w:b/>
          <w:color w:val="000000"/>
          <w:sz w:val="20"/>
        </w:rPr>
      </w:pPr>
      <w:r>
        <w:rPr>
          <w:rFonts w:ascii="Times New Roman;serif" w:hAnsi="Times New Roman;serif"/>
          <w:b/>
          <w:color w:val="000000"/>
          <w:sz w:val="20"/>
        </w:rPr>
        <w:t>9. Leases</w:t>
      </w:r>
    </w:p>
    <w:p>
      <w:pPr>
        <w:pStyle w:val="TextBody"/>
        <w:bidi w:val="0"/>
        <w:spacing w:lineRule="auto" w:line="288" w:before="240" w:after="160"/>
        <w:jc w:val="both"/>
        <w:rPr>
          <w:rFonts w:ascii="Times New Roman;serif" w:hAnsi="Times New Roman;serif"/>
          <w:b w:val="false"/>
          <w:color w:val="000000"/>
          <w:sz w:val="20"/>
        </w:rPr>
      </w:pPr>
      <w:r>
        <w:rPr>
          <w:rFonts w:ascii="Times New Roman;serif" w:hAnsi="Times New Roman;serif"/>
          <w:b w:val="false"/>
          <w:color w:val="000000"/>
          <w:sz w:val="20"/>
        </w:rPr>
        <w:t>Supplemental balance sheet information related to leases is as follows (in thousands):</w:t>
      </w:r>
    </w:p>
    <w:tbl>
      <w:tblPr>
        <w:tblW w:w="9049" w:type="dxa"/>
        <w:jc w:val="center"/>
        <w:tblInd w:w="0" w:type="dxa"/>
        <w:tblLayout w:type="fixed"/>
        <w:tblCellMar>
          <w:top w:w="28" w:type="dxa"/>
          <w:left w:w="28" w:type="dxa"/>
          <w:bottom w:w="28" w:type="dxa"/>
          <w:right w:w="28" w:type="dxa"/>
        </w:tblCellMar>
      </w:tblPr>
      <w:tblGrid>
        <w:gridCol w:w="814"/>
        <w:gridCol w:w="713"/>
        <w:gridCol w:w="722"/>
        <w:gridCol w:w="1260"/>
        <w:gridCol w:w="1260"/>
        <w:gridCol w:w="1289"/>
        <w:gridCol w:w="109"/>
        <w:gridCol w:w="109"/>
        <w:gridCol w:w="109"/>
        <w:gridCol w:w="211"/>
        <w:gridCol w:w="826"/>
        <w:gridCol w:w="109"/>
        <w:gridCol w:w="109"/>
        <w:gridCol w:w="109"/>
        <w:gridCol w:w="109"/>
        <w:gridCol w:w="211"/>
        <w:gridCol w:w="826"/>
        <w:gridCol w:w="154"/>
      </w:tblGrid>
      <w:tr>
        <w:trPr/>
        <w:tc>
          <w:tcPr>
            <w:tcW w:w="814" w:type="dxa"/>
            <w:tcBorders/>
            <w:vAlign w:val="center"/>
          </w:tcPr>
          <w:p>
            <w:pPr>
              <w:pStyle w:val="TableContents"/>
              <w:bidi w:val="0"/>
              <w:spacing w:before="0" w:after="283"/>
              <w:jc w:val="left"/>
              <w:rPr>
                <w:sz w:val="4"/>
                <w:szCs w:val="4"/>
              </w:rPr>
            </w:pPr>
            <w:r>
              <w:rPr>
                <w:sz w:val="4"/>
                <w:szCs w:val="4"/>
              </w:rPr>
            </w:r>
          </w:p>
        </w:tc>
        <w:tc>
          <w:tcPr>
            <w:tcW w:w="713" w:type="dxa"/>
            <w:tcBorders/>
            <w:vAlign w:val="center"/>
          </w:tcPr>
          <w:p>
            <w:pPr>
              <w:pStyle w:val="TableContents"/>
              <w:bidi w:val="0"/>
              <w:spacing w:before="0" w:after="283"/>
              <w:jc w:val="left"/>
              <w:rPr>
                <w:sz w:val="4"/>
                <w:szCs w:val="4"/>
              </w:rPr>
            </w:pPr>
            <w:r>
              <w:rPr>
                <w:sz w:val="4"/>
                <w:szCs w:val="4"/>
              </w:rPr>
            </w:r>
          </w:p>
        </w:tc>
        <w:tc>
          <w:tcPr>
            <w:tcW w:w="722" w:type="dxa"/>
            <w:tcBorders/>
            <w:vAlign w:val="center"/>
          </w:tcPr>
          <w:p>
            <w:pPr>
              <w:pStyle w:val="TableContents"/>
              <w:bidi w:val="0"/>
              <w:spacing w:before="0" w:after="283"/>
              <w:jc w:val="left"/>
              <w:rPr>
                <w:sz w:val="4"/>
                <w:szCs w:val="4"/>
              </w:rPr>
            </w:pPr>
            <w:r>
              <w:rPr>
                <w:sz w:val="4"/>
                <w:szCs w:val="4"/>
              </w:rPr>
            </w:r>
          </w:p>
        </w:tc>
        <w:tc>
          <w:tcPr>
            <w:tcW w:w="1260" w:type="dxa"/>
            <w:tcBorders/>
            <w:vAlign w:val="center"/>
          </w:tcPr>
          <w:p>
            <w:pPr>
              <w:pStyle w:val="TableContents"/>
              <w:bidi w:val="0"/>
              <w:spacing w:before="0" w:after="283"/>
              <w:jc w:val="left"/>
              <w:rPr>
                <w:sz w:val="4"/>
                <w:szCs w:val="4"/>
              </w:rPr>
            </w:pPr>
            <w:r>
              <w:rPr>
                <w:sz w:val="4"/>
                <w:szCs w:val="4"/>
              </w:rPr>
            </w:r>
          </w:p>
        </w:tc>
        <w:tc>
          <w:tcPr>
            <w:tcW w:w="1260" w:type="dxa"/>
            <w:tcBorders/>
            <w:vAlign w:val="center"/>
          </w:tcPr>
          <w:p>
            <w:pPr>
              <w:pStyle w:val="TableContents"/>
              <w:bidi w:val="0"/>
              <w:spacing w:before="0" w:after="283"/>
              <w:jc w:val="left"/>
              <w:rPr>
                <w:sz w:val="4"/>
                <w:szCs w:val="4"/>
              </w:rPr>
            </w:pPr>
            <w:r>
              <w:rPr>
                <w:sz w:val="4"/>
                <w:szCs w:val="4"/>
              </w:rPr>
            </w:r>
          </w:p>
        </w:tc>
        <w:tc>
          <w:tcPr>
            <w:tcW w:w="128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058" w:type="dxa"/>
            <w:gridSpan w:val="6"/>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Classification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September 30,</w:t>
              <w:b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December 31,</w:t>
              <w:br/>
              <w:t>2024</w:t>
            </w:r>
          </w:p>
        </w:tc>
      </w:tr>
      <w:tr>
        <w:trPr/>
        <w:tc>
          <w:tcPr>
            <w:tcW w:w="2249"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Assets</w:t>
            </w:r>
          </w:p>
        </w:tc>
        <w:tc>
          <w:tcPr>
            <w:tcW w:w="3809"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w:t>
            </w:r>
          </w:p>
        </w:tc>
        <w:tc>
          <w:tcPr>
            <w:tcW w:w="38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Operating lease assets, net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133,134 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157,821 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Finance</w:t>
            </w:r>
          </w:p>
        </w:tc>
        <w:tc>
          <w:tcPr>
            <w:tcW w:w="38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Property and equipment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6,896 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3,807 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leased assets</w:t>
            </w:r>
          </w:p>
        </w:tc>
        <w:tc>
          <w:tcPr>
            <w:tcW w:w="380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140,030 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161,628 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Liabilities</w:t>
            </w:r>
          </w:p>
        </w:tc>
        <w:tc>
          <w:tcPr>
            <w:tcW w:w="380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Current lease liabilities</w:t>
            </w:r>
          </w:p>
        </w:tc>
        <w:tc>
          <w:tcPr>
            <w:tcW w:w="380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w:t>
            </w:r>
          </w:p>
        </w:tc>
        <w:tc>
          <w:tcPr>
            <w:tcW w:w="38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Current operating lease liabilities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29,728 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32,055 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Finance</w:t>
            </w:r>
          </w:p>
        </w:tc>
        <w:tc>
          <w:tcPr>
            <w:tcW w:w="38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Accrued expenses and other current liabilities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1,838 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1,976 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Long-term lease liabilities</w:t>
            </w:r>
          </w:p>
        </w:tc>
        <w:tc>
          <w:tcPr>
            <w:tcW w:w="380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w:t>
            </w:r>
          </w:p>
        </w:tc>
        <w:tc>
          <w:tcPr>
            <w:tcW w:w="38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Long-term operating lease liabilities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130,872 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156,723 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Finance</w:t>
            </w:r>
          </w:p>
        </w:tc>
        <w:tc>
          <w:tcPr>
            <w:tcW w:w="38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long-term liabilities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5,501 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2,014 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lease liabilities</w:t>
            </w:r>
          </w:p>
        </w:tc>
        <w:tc>
          <w:tcPr>
            <w:tcW w:w="380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167,939 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192,768 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288" w:before="0" w:after="0"/>
        <w:jc w:val="both"/>
        <w:rPr/>
      </w:pPr>
      <w:r>
        <w:rPr>
          <w:rFonts w:ascii="Times New Roman;serif" w:hAnsi="Times New Roman;serif"/>
          <w:b w:val="false"/>
          <w:color w:val="000000"/>
          <w:sz w:val="20"/>
        </w:rPr>
        <w:t xml:space="preserve">Sublease income recognized in the Condensed Consolidated Statements of Operations was $0.7 million and $0.8 million for the third quarters of 2025 and </w:t>
      </w:r>
      <w:r>
        <w:rPr>
          <w:rFonts w:ascii="Times New Roman;serif" w:hAnsi="Times New Roman;serif"/>
          <w:b w:val="false"/>
          <w:color w:val="000000"/>
          <w:sz w:val="20"/>
          <w:shd w:fill="FFFFFF" w:val="clear"/>
        </w:rPr>
        <w:t>2024, and $2.1 million and $2.3 million the first three quarters of 2025 and 2024, respectively.</w:t>
      </w:r>
    </w:p>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3">
                <wp:simplePos x="0" y="0"/>
                <wp:positionH relativeFrom="character">
                  <wp:align>left</wp:align>
                </wp:positionH>
                <wp:positionV relativeFrom="line">
                  <wp:posOffset>635</wp:posOffset>
                </wp:positionV>
                <wp:extent cx="6480175" cy="146685"/>
                <wp:effectExtent l="0" t="0" r="0" b="0"/>
                <wp:wrapNone/>
                <wp:docPr id="12" name="Frame1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11</w:t>
                      </w:r>
                    </w:p>
                  </w:txbxContent>
                </v:textbox>
                <w10:wrap type="none"/>
              </v:rect>
            </w:pict>
          </mc:Fallback>
        </mc:AlternateContent>
      </w:r>
    </w:p>
    <w:p>
      <w:pPr>
        <w:pStyle w:val="TextBody"/>
        <w:bidi w:val="0"/>
        <w:spacing w:lineRule="auto" w:line="288" w:before="160" w:after="160"/>
        <w:jc w:val="left"/>
        <w:rPr/>
      </w:pPr>
      <w:hyperlink w:anchor="i0388035fcf6a4f6ca5f569f2895a7d6a_10">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Supplemental disclosures of cash flow information related to leases are as follows (in thousands):</w:t>
      </w:r>
    </w:p>
    <w:tbl>
      <w:tblPr>
        <w:tblW w:w="10205" w:type="dxa"/>
        <w:jc w:val="center"/>
        <w:tblInd w:w="0" w:type="dxa"/>
        <w:tblLayout w:type="fixed"/>
        <w:tblCellMar>
          <w:top w:w="28" w:type="dxa"/>
          <w:left w:w="28" w:type="dxa"/>
          <w:bottom w:w="28" w:type="dxa"/>
          <w:right w:w="28" w:type="dxa"/>
        </w:tblCellMar>
      </w:tblPr>
      <w:tblGrid>
        <w:gridCol w:w="1655"/>
        <w:gridCol w:w="1428"/>
        <w:gridCol w:w="1433"/>
        <w:gridCol w:w="109"/>
        <w:gridCol w:w="109"/>
        <w:gridCol w:w="109"/>
        <w:gridCol w:w="228"/>
        <w:gridCol w:w="780"/>
        <w:gridCol w:w="117"/>
        <w:gridCol w:w="109"/>
        <w:gridCol w:w="109"/>
        <w:gridCol w:w="109"/>
        <w:gridCol w:w="211"/>
        <w:gridCol w:w="721"/>
        <w:gridCol w:w="109"/>
        <w:gridCol w:w="109"/>
        <w:gridCol w:w="109"/>
        <w:gridCol w:w="109"/>
        <w:gridCol w:w="228"/>
        <w:gridCol w:w="780"/>
        <w:gridCol w:w="117"/>
        <w:gridCol w:w="109"/>
        <w:gridCol w:w="109"/>
        <w:gridCol w:w="109"/>
        <w:gridCol w:w="211"/>
        <w:gridCol w:w="721"/>
        <w:gridCol w:w="158"/>
      </w:tblGrid>
      <w:tr>
        <w:trPr/>
        <w:tc>
          <w:tcPr>
            <w:tcW w:w="1655" w:type="dxa"/>
            <w:tcBorders/>
            <w:vAlign w:val="center"/>
          </w:tcPr>
          <w:p>
            <w:pPr>
              <w:pStyle w:val="TableContents"/>
              <w:bidi w:val="0"/>
              <w:spacing w:before="0" w:after="283"/>
              <w:jc w:val="left"/>
              <w:rPr>
                <w:sz w:val="4"/>
                <w:szCs w:val="4"/>
              </w:rPr>
            </w:pPr>
            <w:r>
              <w:rPr>
                <w:sz w:val="4"/>
                <w:szCs w:val="4"/>
              </w:rPr>
            </w:r>
          </w:p>
        </w:tc>
        <w:tc>
          <w:tcPr>
            <w:tcW w:w="1428" w:type="dxa"/>
            <w:tcBorders/>
            <w:vAlign w:val="center"/>
          </w:tcPr>
          <w:p>
            <w:pPr>
              <w:pStyle w:val="TableContents"/>
              <w:bidi w:val="0"/>
              <w:spacing w:before="0" w:after="283"/>
              <w:jc w:val="left"/>
              <w:rPr>
                <w:sz w:val="4"/>
                <w:szCs w:val="4"/>
              </w:rPr>
            </w:pPr>
            <w:r>
              <w:rPr>
                <w:sz w:val="4"/>
                <w:szCs w:val="4"/>
              </w:rPr>
            </w:r>
          </w:p>
        </w:tc>
        <w:tc>
          <w:tcPr>
            <w:tcW w:w="143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8" w:type="dxa"/>
            <w:tcBorders/>
            <w:vAlign w:val="center"/>
          </w:tcPr>
          <w:p>
            <w:pPr>
              <w:pStyle w:val="TableContents"/>
              <w:bidi w:val="0"/>
              <w:spacing w:before="0" w:after="283"/>
              <w:jc w:val="left"/>
              <w:rPr>
                <w:sz w:val="4"/>
                <w:szCs w:val="4"/>
              </w:rPr>
            </w:pPr>
            <w:r>
              <w:rPr>
                <w:sz w:val="4"/>
                <w:szCs w:val="4"/>
              </w:rPr>
            </w:r>
          </w:p>
        </w:tc>
        <w:tc>
          <w:tcPr>
            <w:tcW w:w="780"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8" w:type="dxa"/>
            <w:tcBorders/>
            <w:vAlign w:val="center"/>
          </w:tcPr>
          <w:p>
            <w:pPr>
              <w:pStyle w:val="TableContents"/>
              <w:bidi w:val="0"/>
              <w:spacing w:before="0" w:after="283"/>
              <w:jc w:val="left"/>
              <w:rPr>
                <w:sz w:val="4"/>
                <w:szCs w:val="4"/>
              </w:rPr>
            </w:pPr>
            <w:r>
              <w:rPr>
                <w:sz w:val="4"/>
                <w:szCs w:val="4"/>
              </w:rPr>
            </w:r>
          </w:p>
        </w:tc>
        <w:tc>
          <w:tcPr>
            <w:tcW w:w="780"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45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93"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Fiscal Quarter Ended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42"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Three Fiscal Quarters Ended</w:t>
            </w:r>
          </w:p>
        </w:tc>
      </w:tr>
      <w:tr>
        <w:trPr/>
        <w:tc>
          <w:tcPr>
            <w:tcW w:w="45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September 30,</w:t>
              <w:b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October 1,</w:t>
              <w:b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September 30,</w:t>
              <w:b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October 1,</w:t>
              <w:br/>
              <w:t>2024</w:t>
            </w:r>
          </w:p>
        </w:tc>
      </w:tr>
      <w:tr>
        <w:trPr/>
        <w:tc>
          <w:tcPr>
            <w:tcW w:w="45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Cash paid for lease liabilities: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5"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5"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0"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1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leases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8"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8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10,426 </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10,890 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8"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8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31,863 </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32,736 </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Finance leases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595 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673 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1,838 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1,974 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1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8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11,021 </w:t>
            </w:r>
          </w:p>
        </w:tc>
        <w:tc>
          <w:tcPr>
            <w:tcW w:w="11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11,563 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8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33,701 </w:t>
            </w:r>
          </w:p>
        </w:tc>
        <w:tc>
          <w:tcPr>
            <w:tcW w:w="11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34,710 </w:t>
            </w:r>
          </w:p>
        </w:tc>
        <w:tc>
          <w:tcPr>
            <w:tcW w:w="15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Right-of-use assets obtained in exchange for lease liabilities: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5"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5"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0"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1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leases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8"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8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223 </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8"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8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2,564 </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6,488 </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Finance leases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123 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8"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4,810 </w:t>
            </w:r>
          </w:p>
        </w:tc>
        <w:tc>
          <w:tcPr>
            <w:tcW w:w="11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137 </w:t>
            </w:r>
          </w:p>
        </w:tc>
        <w:tc>
          <w:tcPr>
            <w:tcW w:w="15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1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8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346 </w:t>
            </w:r>
          </w:p>
        </w:tc>
        <w:tc>
          <w:tcPr>
            <w:tcW w:w="11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139 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8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7,374 </w:t>
            </w:r>
          </w:p>
        </w:tc>
        <w:tc>
          <w:tcPr>
            <w:tcW w:w="11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6,625 </w:t>
            </w:r>
          </w:p>
        </w:tc>
        <w:tc>
          <w:tcPr>
            <w:tcW w:w="15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both"/>
        <w:rPr>
          <w:rFonts w:ascii="Times New Roman;serif" w:hAnsi="Times New Roman;serif"/>
          <w:b/>
          <w:color w:val="000000"/>
          <w:sz w:val="20"/>
        </w:rPr>
      </w:pPr>
      <w:r>
        <w:rPr>
          <w:rFonts w:ascii="Times New Roman;serif" w:hAnsi="Times New Roman;serif"/>
          <w:b/>
          <w:color w:val="000000"/>
          <w:sz w:val="20"/>
        </w:rPr>
        <w:t>10. Supplemental Disclosures to Condensed Consolidated Statements of Cash Flows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The following table presents the supplemental disclosures to the Condensed Consolidated Statements of Cash Flows for the first three quarters ended September 30, 2025 and October 1, 2024 (in thousands):</w:t>
      </w:r>
    </w:p>
    <w:tbl>
      <w:tblPr>
        <w:tblW w:w="8234" w:type="dxa"/>
        <w:jc w:val="left"/>
        <w:tblInd w:w="0" w:type="dxa"/>
        <w:tblLayout w:type="fixed"/>
        <w:tblCellMar>
          <w:top w:w="28" w:type="dxa"/>
          <w:left w:w="28" w:type="dxa"/>
          <w:bottom w:w="28" w:type="dxa"/>
          <w:right w:w="28" w:type="dxa"/>
        </w:tblCellMar>
      </w:tblPr>
      <w:tblGrid>
        <w:gridCol w:w="1979"/>
        <w:gridCol w:w="1737"/>
        <w:gridCol w:w="1744"/>
        <w:gridCol w:w="109"/>
        <w:gridCol w:w="109"/>
        <w:gridCol w:w="109"/>
        <w:gridCol w:w="257"/>
        <w:gridCol w:w="750"/>
        <w:gridCol w:w="132"/>
        <w:gridCol w:w="109"/>
        <w:gridCol w:w="109"/>
        <w:gridCol w:w="109"/>
        <w:gridCol w:w="211"/>
        <w:gridCol w:w="616"/>
        <w:gridCol w:w="154"/>
      </w:tblGrid>
      <w:tr>
        <w:trPr/>
        <w:tc>
          <w:tcPr>
            <w:tcW w:w="1979" w:type="dxa"/>
            <w:tcBorders/>
            <w:vAlign w:val="center"/>
          </w:tcPr>
          <w:p>
            <w:pPr>
              <w:pStyle w:val="TableContents"/>
              <w:bidi w:val="0"/>
              <w:spacing w:before="0" w:after="283"/>
              <w:jc w:val="left"/>
              <w:rPr>
                <w:sz w:val="4"/>
                <w:szCs w:val="4"/>
              </w:rPr>
            </w:pPr>
            <w:r>
              <w:rPr>
                <w:sz w:val="4"/>
                <w:szCs w:val="4"/>
              </w:rPr>
            </w:r>
          </w:p>
        </w:tc>
        <w:tc>
          <w:tcPr>
            <w:tcW w:w="1737" w:type="dxa"/>
            <w:tcBorders/>
            <w:vAlign w:val="center"/>
          </w:tcPr>
          <w:p>
            <w:pPr>
              <w:pStyle w:val="TableContents"/>
              <w:bidi w:val="0"/>
              <w:spacing w:before="0" w:after="283"/>
              <w:jc w:val="left"/>
              <w:rPr>
                <w:sz w:val="4"/>
                <w:szCs w:val="4"/>
              </w:rPr>
            </w:pPr>
            <w:r>
              <w:rPr>
                <w:sz w:val="4"/>
                <w:szCs w:val="4"/>
              </w:rPr>
            </w:r>
          </w:p>
        </w:tc>
        <w:tc>
          <w:tcPr>
            <w:tcW w:w="174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7" w:type="dxa"/>
            <w:tcBorders/>
            <w:vAlign w:val="center"/>
          </w:tcPr>
          <w:p>
            <w:pPr>
              <w:pStyle w:val="TableContents"/>
              <w:bidi w:val="0"/>
              <w:spacing w:before="0" w:after="283"/>
              <w:jc w:val="left"/>
              <w:rPr>
                <w:sz w:val="4"/>
                <w:szCs w:val="4"/>
              </w:rPr>
            </w:pPr>
            <w:r>
              <w:rPr>
                <w:sz w:val="4"/>
                <w:szCs w:val="4"/>
              </w:rPr>
            </w:r>
          </w:p>
        </w:tc>
        <w:tc>
          <w:tcPr>
            <w:tcW w:w="750"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4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September 30,</w:t>
              <w:b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October 1,</w:t>
              <w:br/>
              <w:t>2024</w:t>
            </w:r>
          </w:p>
        </w:tc>
      </w:tr>
      <w:tr>
        <w:trPr/>
        <w:tc>
          <w:tcPr>
            <w:tcW w:w="54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paid (net of amounts capitalized)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5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6,512 </w:t>
            </w:r>
          </w:p>
        </w:tc>
        <w:tc>
          <w:tcPr>
            <w:tcW w:w="13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5,405 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Income taxes paid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7 </w:t>
            </w:r>
          </w:p>
        </w:tc>
        <w:tc>
          <w:tcPr>
            <w:tcW w:w="1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Purchases of property and equipment accrued in accounts payable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1,045 </w:t>
            </w:r>
          </w:p>
        </w:tc>
        <w:tc>
          <w:tcPr>
            <w:tcW w:w="13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2,816 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16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both"/>
        <w:rPr>
          <w:rFonts w:ascii="Times New Roman;serif" w:hAnsi="Times New Roman;serif"/>
          <w:b/>
          <w:color w:val="000000"/>
          <w:sz w:val="20"/>
        </w:rPr>
      </w:pPr>
      <w:r>
        <w:rPr>
          <w:rFonts w:ascii="Times New Roman;serif" w:hAnsi="Times New Roman;serif"/>
          <w:b/>
          <w:color w:val="000000"/>
          <w:sz w:val="20"/>
        </w:rPr>
        <w:t>11. Revenue Recognition</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i/>
          <w:color w:val="000000"/>
          <w:sz w:val="20"/>
        </w:rPr>
      </w:pPr>
      <w:r>
        <w:rPr>
          <w:rFonts w:ascii="Times New Roman;serif" w:hAnsi="Times New Roman;serif"/>
          <w:b/>
          <w:i/>
          <w:color w:val="000000"/>
          <w:sz w:val="20"/>
        </w:rPr>
        <w:t>Revenue</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Revenue consists of sales from restaurant operations, franchise royalties and fees, and sublease income. Revenue from the operation of company-owned restaurants is recognized when sales occur. The Company reports revenue net of sales tax collected from customers and remitted to governmental taxing authorities. </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i/>
          <w:color w:val="000000"/>
          <w:sz w:val="20"/>
        </w:rPr>
      </w:pPr>
      <w:r>
        <w:rPr>
          <w:rFonts w:ascii="Times New Roman;serif" w:hAnsi="Times New Roman;serif"/>
          <w:b/>
          <w:i/>
          <w:color w:val="000000"/>
          <w:sz w:val="20"/>
        </w:rPr>
        <w:t>Gift Cards</w:t>
      </w:r>
    </w:p>
    <w:p>
      <w:pPr>
        <w:pStyle w:val="TextBody"/>
        <w:bidi w:val="0"/>
        <w:spacing w:before="0" w:after="0"/>
        <w:jc w:val="both"/>
        <w:rPr/>
      </w:pPr>
      <w:r>
        <w:rPr/>
      </w:r>
    </w:p>
    <w:p>
      <w:pPr>
        <w:pStyle w:val="TextBody"/>
        <w:bidi w:val="0"/>
        <w:spacing w:lineRule="auto" w:line="288" w:before="0" w:after="0"/>
        <w:jc w:val="both"/>
        <w:rPr/>
      </w:pPr>
      <w:r>
        <w:rPr>
          <w:rFonts w:ascii="Times New Roman;serif" w:hAnsi="Times New Roman;serif"/>
          <w:b w:val="false"/>
          <w:color w:val="000000"/>
          <w:sz w:val="20"/>
        </w:rPr>
        <w:t>The Company sells gift cards which do not have an expiration date, and it does not deduct non-usage fees from outstanding gift card balances. The Company recognizes revenue from gift cards when the gift card is redeemed by the customer or the Company determines the likelihood of the gift card being redeemed by the customer is remote (“gift card breakage”). The determination of the gift card breakage rate is based upon Company-specific historical redemption patterns. The Company has determined that approximat</w:t>
      </w:r>
      <w:r>
        <w:rPr>
          <w:rFonts w:ascii="Times New Roman;serif" w:hAnsi="Times New Roman;serif"/>
          <w:b w:val="false"/>
          <w:color w:val="000000"/>
          <w:sz w:val="20"/>
          <w:shd w:fill="FFFFFF" w:val="clear"/>
        </w:rPr>
        <w:t>ely 15% of gift ca</w:t>
      </w:r>
      <w:r>
        <w:rPr>
          <w:rFonts w:ascii="Times New Roman;serif" w:hAnsi="Times New Roman;serif"/>
          <w:b w:val="false"/>
          <w:color w:val="000000"/>
          <w:sz w:val="20"/>
        </w:rPr>
        <w:t>rds will not be redeemed and recognizes gift card breakage ratably over the estimated redemption period of the gift card, which is approximate</w:t>
      </w:r>
      <w:r>
        <w:rPr>
          <w:rFonts w:ascii="Times New Roman;serif" w:hAnsi="Times New Roman;serif"/>
          <w:b w:val="false"/>
          <w:color w:val="000000"/>
          <w:sz w:val="20"/>
          <w:shd w:fill="FFFFFF" w:val="clear"/>
        </w:rPr>
        <w:t>ly 24 months. G</w:t>
      </w:r>
      <w:r>
        <w:rPr>
          <w:rFonts w:ascii="Times New Roman;serif" w:hAnsi="Times New Roman;serif"/>
          <w:b w:val="false"/>
          <w:color w:val="000000"/>
          <w:sz w:val="20"/>
        </w:rPr>
        <w:t xml:space="preserve">ift card liability balances are typically highest at the end of each calendar year following increased gift card purchases during the holiday season. </w:t>
      </w:r>
    </w:p>
    <w:p>
      <w:pPr>
        <w:pStyle w:val="TextBody"/>
        <w:bidi w:val="0"/>
        <w:spacing w:before="0" w:after="0"/>
        <w:jc w:val="both"/>
        <w:rPr/>
      </w:pPr>
      <w:r>
        <w:rPr/>
      </w:r>
    </w:p>
    <w:p>
      <w:pPr>
        <w:pStyle w:val="TextBody"/>
        <w:bidi w:val="0"/>
        <w:spacing w:lineRule="auto" w:line="288" w:before="0" w:after="0"/>
        <w:jc w:val="both"/>
        <w:rPr/>
      </w:pPr>
      <w:r>
        <w:rPr>
          <w:rFonts w:ascii="Times New Roman;serif" w:hAnsi="Times New Roman;serif"/>
          <w:b w:val="false"/>
          <w:color w:val="000000"/>
          <w:sz w:val="20"/>
        </w:rPr>
        <w:t>As of September 30, 2025 and December 31, 2024, the current portion of the gift card liability amounting to $1.9 million and $2.0 million, respectively, was included in accrued expenses and other current liabilities, and the long-term portion a</w:t>
      </w:r>
      <w:r>
        <w:rPr>
          <w:rFonts w:ascii="Times New Roman;serif" w:hAnsi="Times New Roman;serif"/>
          <w:b w:val="false"/>
          <w:color w:val="000000"/>
          <w:sz w:val="20"/>
          <w:shd w:fill="FFFFFF" w:val="clear"/>
        </w:rPr>
        <w:t xml:space="preserve">mounting to $0.6 million </w:t>
      </w:r>
      <w:r>
        <w:rPr>
          <w:rFonts w:ascii="Times New Roman;serif" w:hAnsi="Times New Roman;serif"/>
          <w:b w:val="false"/>
          <w:color w:val="000000"/>
          <w:sz w:val="20"/>
        </w:rPr>
        <w:t>and $1.0 million, respectively</w:t>
      </w:r>
      <w:r>
        <w:rPr>
          <w:rFonts w:ascii="Times New Roman;serif" w:hAnsi="Times New Roman;serif"/>
          <w:b w:val="false"/>
          <w:color w:val="000000"/>
          <w:sz w:val="20"/>
          <w:shd w:fill="FFFFFF" w:val="clear"/>
        </w:rPr>
        <w:t>, was included in other long-term liabilities in the Condensed Consolidated Balance Sheets.</w:t>
      </w:r>
    </w:p>
    <w:p>
      <w:pPr>
        <w:pStyle w:val="TextBody"/>
        <w:bidi w:val="0"/>
        <w:spacing w:before="0" w:after="0"/>
        <w:jc w:val="both"/>
        <w:rPr/>
      </w:pPr>
      <w:r>
        <w:rPr/>
      </w:r>
    </w:p>
    <w:p>
      <w:pPr>
        <w:pStyle w:val="TextBody"/>
        <w:bidi w:val="0"/>
        <w:spacing w:lineRule="auto" w:line="288" w:before="0" w:after="0"/>
        <w:jc w:val="both"/>
        <w:rPr/>
      </w:pPr>
      <w:r>
        <w:rPr>
          <w:rFonts w:ascii="Times New Roman;serif" w:hAnsi="Times New Roman;serif"/>
          <w:b w:val="false"/>
          <w:color w:val="000000"/>
          <w:sz w:val="20"/>
        </w:rPr>
        <w:t xml:space="preserve">Revenue recognized in the Condensed Consolidated Statements of Operations for the redemption of gift cards was $0.4 million and $0.5 million for the third quarters of 2025 and 2024, respectively, and </w:t>
      </w:r>
      <w:r>
        <w:rPr>
          <w:rFonts w:ascii="Times New Roman;serif" w:hAnsi="Times New Roman;serif"/>
          <w:b w:val="false"/>
          <w:color w:val="000000"/>
          <w:sz w:val="20"/>
          <w:shd w:fill="FFFFFF" w:val="clear"/>
        </w:rPr>
        <w:t>$1.8 million</w:t>
      </w:r>
      <w:r>
        <w:rPr>
          <w:color w:val="000000"/>
        </w:rPr>
        <w:t xml:space="preserve"> </w:t>
      </w:r>
      <w:r>
        <w:rPr>
          <w:rFonts w:ascii="Times New Roman;serif" w:hAnsi="Times New Roman;serif"/>
          <w:b w:val="false"/>
          <w:color w:val="000000"/>
          <w:sz w:val="20"/>
        </w:rPr>
        <w:t xml:space="preserve">and $2.1 million for the first three quarters of 2025 and 2024, respectively.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4">
                <wp:simplePos x="0" y="0"/>
                <wp:positionH relativeFrom="character">
                  <wp:align>left</wp:align>
                </wp:positionH>
                <wp:positionV relativeFrom="line">
                  <wp:posOffset>635</wp:posOffset>
                </wp:positionV>
                <wp:extent cx="6480175" cy="146685"/>
                <wp:effectExtent l="0" t="0" r="0" b="0"/>
                <wp:wrapNone/>
                <wp:docPr id="13" name="Frame1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12</w:t>
                      </w:r>
                    </w:p>
                  </w:txbxContent>
                </v:textbox>
                <w10:wrap type="none"/>
              </v:rect>
            </w:pict>
          </mc:Fallback>
        </mc:AlternateContent>
      </w:r>
    </w:p>
    <w:p>
      <w:pPr>
        <w:pStyle w:val="TextBody"/>
        <w:bidi w:val="0"/>
        <w:spacing w:lineRule="auto" w:line="288" w:before="160" w:after="160"/>
        <w:jc w:val="left"/>
        <w:rPr/>
      </w:pPr>
      <w:hyperlink w:anchor="i0388035fcf6a4f6ca5f569f2895a7d6a_10">
        <w:r>
          <w:rPr>
            <w:rStyle w:val="InternetLink"/>
            <w:rFonts w:ascii="Times New Roman;serif" w:hAnsi="Times New Roman;serif"/>
            <w:b w:val="false"/>
            <w:color w:val="0000FF"/>
            <w:sz w:val="20"/>
            <w:u w:val="single"/>
          </w:rPr>
          <w:t>Table of Contents</w:t>
        </w:r>
      </w:hyperlink>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i/>
          <w:color w:val="000000"/>
          <w:sz w:val="20"/>
        </w:rPr>
      </w:pPr>
      <w:r>
        <w:rPr>
          <w:rFonts w:ascii="Times New Roman;serif" w:hAnsi="Times New Roman;serif"/>
          <w:b/>
          <w:i/>
          <w:color w:val="000000"/>
          <w:sz w:val="20"/>
        </w:rPr>
        <w:t>Franchise Fees</w:t>
      </w:r>
    </w:p>
    <w:p>
      <w:pPr>
        <w:pStyle w:val="TextBody"/>
        <w:bidi w:val="0"/>
        <w:spacing w:before="0" w:after="0"/>
        <w:jc w:val="both"/>
        <w:rPr/>
      </w:pPr>
      <w:r>
        <w:rPr/>
      </w:r>
    </w:p>
    <w:p>
      <w:pPr>
        <w:pStyle w:val="TextBody"/>
        <w:bidi w:val="0"/>
        <w:spacing w:lineRule="auto" w:line="288" w:before="0" w:after="0"/>
        <w:jc w:val="both"/>
        <w:rPr/>
      </w:pPr>
      <w:r>
        <w:rPr>
          <w:rFonts w:ascii="Times New Roman;serif" w:hAnsi="Times New Roman;serif"/>
          <w:b w:val="false"/>
          <w:color w:val="000000"/>
          <w:sz w:val="20"/>
        </w:rPr>
        <w:t xml:space="preserve">Royalties from franchise restaurants are based on a percentage of restaurant revenues and are recognized in the period the related franchised restaurants’ sales occur. </w:t>
      </w:r>
      <w:r>
        <w:rPr>
          <w:rFonts w:ascii="Times New Roman;serif" w:hAnsi="Times New Roman;serif"/>
          <w:b w:val="false"/>
          <w:color w:val="000000"/>
          <w:sz w:val="20"/>
          <w:shd w:fill="FFFFFF" w:val="clear"/>
        </w:rPr>
        <w:t>Dev</w:t>
      </w:r>
      <w:r>
        <w:rPr>
          <w:rFonts w:ascii="Times New Roman;serif" w:hAnsi="Times New Roman;serif"/>
          <w:b w:val="false"/>
          <w:color w:val="000000"/>
          <w:sz w:val="20"/>
        </w:rPr>
        <w:t xml:space="preserve">elopment and franchise fees, portions of which are collected in advance, are nonrefundable and are recognized in income ratably over the term of the related franchise agreement or recognized upon the termination of the agreement between the Company and the franchisee. The Company has determined that the initial franchise services are not distinct from the continuing rights or services offered during the term of the franchise agreement and should be treated as a single performance obligation; therefore, initial fees received from franchisees are recognized as revenue over the term of each respective franchise agreement, which is typically 20 years. </w:t>
      </w:r>
    </w:p>
    <w:p>
      <w:pPr>
        <w:pStyle w:val="TextBody"/>
        <w:bidi w:val="0"/>
        <w:spacing w:lineRule="auto" w:line="288" w:before="240" w:after="160"/>
        <w:jc w:val="both"/>
        <w:rPr>
          <w:rFonts w:ascii="Times New Roman;serif" w:hAnsi="Times New Roman;serif"/>
          <w:b/>
          <w:i/>
          <w:color w:val="000000"/>
          <w:sz w:val="20"/>
        </w:rPr>
      </w:pPr>
      <w:r>
        <w:rPr>
          <w:rFonts w:ascii="Times New Roman;serif" w:hAnsi="Times New Roman;serif"/>
          <w:b/>
          <w:i/>
          <w:color w:val="000000"/>
          <w:sz w:val="20"/>
        </w:rPr>
        <w:t>Loyalty Program</w:t>
      </w:r>
    </w:p>
    <w:p>
      <w:pPr>
        <w:pStyle w:val="TextBody"/>
        <w:bidi w:val="0"/>
        <w:spacing w:lineRule="auto" w:line="288" w:before="240" w:after="240"/>
        <w:jc w:val="both"/>
        <w:rPr>
          <w:rFonts w:ascii="Times New Roman;serif" w:hAnsi="Times New Roman;serif"/>
          <w:b w:val="false"/>
          <w:color w:val="000000"/>
          <w:sz w:val="20"/>
        </w:rPr>
      </w:pPr>
      <w:r>
        <w:rPr>
          <w:rFonts w:ascii="Times New Roman;serif" w:hAnsi="Times New Roman;serif"/>
          <w:b w:val="false"/>
          <w:color w:val="000000"/>
          <w:sz w:val="20"/>
        </w:rPr>
        <w:t>The Company operates the Noodles Rewards program, which is primarily a spend-based loyalty program. With each purchase, Noodles Rewards members earn loyalty points that can be redeemed for rewards, including free products. Using an estimate of the value of reward redemptions, we defer revenue associated with points earned, net of estimated points that will not be redeemed based upon the Company’s historical redemption patterns. Points generally expire after six months. Revenue is recognized in a future period when the reward points are redeemed. As of September 30, 2025 and December 31, 2024, the deferred revenue related to the rewards was $1.1 million and $1.0 million, respectively, and is included in accrued expenses and other current liabilities in the Condensed Consolidated Balance Sheets.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both"/>
        <w:rPr>
          <w:rFonts w:ascii="Times New Roman;serif" w:hAnsi="Times New Roman;serif"/>
          <w:b/>
          <w:color w:val="000000"/>
          <w:sz w:val="20"/>
        </w:rPr>
      </w:pPr>
      <w:r>
        <w:rPr>
          <w:rFonts w:ascii="Times New Roman;serif" w:hAnsi="Times New Roman;serif"/>
          <w:b/>
          <w:color w:val="000000"/>
          <w:sz w:val="20"/>
        </w:rPr>
        <w:t>12. Commitments and Contingencies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In the normal course of business, the Company is subject to proceedings, lawsuits and claims. Such matters are subject to many uncertainties, and outcomes are not predictable with assurance. Consequently, the Company is unable to ascertain the ultimate aggregate amount of monetary liability or financial impact with respect to these matters as of September 30, 2025. These matters could affect the operating results of any one financial reporting period when resolved in future periods. The Company believes that an unfavorable outcome with respect to these matters is remote or a potential range of loss is not material to its consolidated financial statements. Significant increases in the number of these claims, or one or more successful claims that result in greater liabilities than the Company currently anticipates, could materially and adversely affect its business, financial condition, results of operations or cash flows.</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both"/>
        <w:rPr>
          <w:rFonts w:ascii="Times New Roman;serif" w:hAnsi="Times New Roman;serif"/>
          <w:b/>
          <w:color w:val="000000"/>
          <w:sz w:val="20"/>
        </w:rPr>
      </w:pPr>
      <w:r>
        <w:rPr>
          <w:rFonts w:ascii="Times New Roman;serif" w:hAnsi="Times New Roman;serif"/>
          <w:b/>
          <w:color w:val="000000"/>
          <w:sz w:val="20"/>
        </w:rPr>
        <w:t>13. Segment Reporting</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The Company’s Chief Operating Decision Maker (“CODM”) is the senior executive team that includes the Chief Executive Officer and the Chief Financial Officer. The Company has one reportable operating segment. The one reportable segment derives its revenue from company-owned restaurants and franchise owned restaurants. No guest accounts for 10% or more of the Company’s revenues. The Company’s CODM uses income (loss) from operations to evaluate performance and make key operating decisions, such as deciding the rate at which we invest resources into the segment. </w:t>
      </w:r>
    </w:p>
    <w:p>
      <w:pPr>
        <w:pStyle w:val="TextBody"/>
        <w:bidi w:val="0"/>
        <w:spacing w:before="0" w:after="0"/>
        <w:jc w:val="both"/>
        <w:rPr/>
      </w:pPr>
      <w:r>
        <w:rPr/>
      </w:r>
    </w:p>
    <w:p>
      <w:pPr>
        <w:pStyle w:val="TextBody"/>
        <w:bidi w:val="0"/>
        <w:spacing w:lineRule="auto" w:line="288" w:before="0" w:after="0"/>
        <w:jc w:val="both"/>
        <w:rPr/>
      </w:pPr>
      <w:r>
        <w:rPr>
          <w:rFonts w:ascii="Times New Roman;serif" w:hAnsi="Times New Roman;serif"/>
          <w:b w:val="false"/>
          <w:color w:val="000000"/>
          <w:sz w:val="20"/>
        </w:rPr>
        <w:t xml:space="preserve">The following table presents selected financial information with respect to our single reportable segment regularly reviewed by our CODM </w:t>
      </w:r>
      <w:r>
        <w:rPr>
          <w:rFonts w:ascii="Times New Roman;serif" w:hAnsi="Times New Roman;serif"/>
          <w:b w:val="false"/>
          <w:color w:val="000000"/>
          <w:sz w:val="20"/>
          <w:shd w:fill="FFFFFF" w:val="clear"/>
        </w:rPr>
        <w:t>(in thousands):</w:t>
      </w:r>
    </w:p>
    <w:p>
      <w:pPr>
        <w:pStyle w:val="TextBody"/>
        <w:bidi w:val="0"/>
        <w:spacing w:before="0" w:after="0"/>
        <w:jc w:val="both"/>
        <w:rPr/>
      </w:pPr>
      <w:r>
        <w:rPr/>
      </w:r>
    </w:p>
    <w:p>
      <w:pPr>
        <w:pStyle w:val="TextBody"/>
        <w:bidi w:val="0"/>
        <w:spacing w:before="0" w:after="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5">
                <wp:simplePos x="0" y="0"/>
                <wp:positionH relativeFrom="character">
                  <wp:align>left</wp:align>
                </wp:positionH>
                <wp:positionV relativeFrom="line">
                  <wp:posOffset>635</wp:posOffset>
                </wp:positionV>
                <wp:extent cx="6480175" cy="146685"/>
                <wp:effectExtent l="0" t="0" r="0" b="0"/>
                <wp:wrapNone/>
                <wp:docPr id="14" name="Frame1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13</w:t>
                      </w:r>
                    </w:p>
                  </w:txbxContent>
                </v:textbox>
                <w10:wrap type="none"/>
              </v:rect>
            </w:pict>
          </mc:Fallback>
        </mc:AlternateContent>
      </w:r>
    </w:p>
    <w:p>
      <w:pPr>
        <w:pStyle w:val="TextBody"/>
        <w:bidi w:val="0"/>
        <w:spacing w:lineRule="auto" w:line="288" w:before="160" w:after="160"/>
        <w:jc w:val="left"/>
        <w:rPr/>
      </w:pPr>
      <w:hyperlink w:anchor="i0388035fcf6a4f6ca5f569f2895a7d6a_10">
        <w:r>
          <w:rPr>
            <w:rStyle w:val="InternetLink"/>
            <w:rFonts w:ascii="Times New Roman;serif" w:hAnsi="Times New Roman;serif"/>
            <w:b w:val="false"/>
            <w:color w:val="0000FF"/>
            <w:sz w:val="20"/>
            <w:u w:val="single"/>
          </w:rPr>
          <w:t>Table of Contents</w:t>
        </w:r>
      </w:hyperlink>
    </w:p>
    <w:tbl>
      <w:tblPr>
        <w:tblW w:w="10205" w:type="dxa"/>
        <w:jc w:val="left"/>
        <w:tblInd w:w="0" w:type="dxa"/>
        <w:tblLayout w:type="fixed"/>
        <w:tblCellMar>
          <w:top w:w="28" w:type="dxa"/>
          <w:left w:w="28" w:type="dxa"/>
          <w:bottom w:w="28" w:type="dxa"/>
          <w:right w:w="28" w:type="dxa"/>
        </w:tblCellMar>
      </w:tblPr>
      <w:tblGrid>
        <w:gridCol w:w="1575"/>
        <w:gridCol w:w="1342"/>
        <w:gridCol w:w="1349"/>
        <w:gridCol w:w="109"/>
        <w:gridCol w:w="109"/>
        <w:gridCol w:w="109"/>
        <w:gridCol w:w="211"/>
        <w:gridCol w:w="826"/>
        <w:gridCol w:w="109"/>
        <w:gridCol w:w="109"/>
        <w:gridCol w:w="109"/>
        <w:gridCol w:w="109"/>
        <w:gridCol w:w="211"/>
        <w:gridCol w:w="826"/>
        <w:gridCol w:w="109"/>
        <w:gridCol w:w="109"/>
        <w:gridCol w:w="109"/>
        <w:gridCol w:w="109"/>
        <w:gridCol w:w="211"/>
        <w:gridCol w:w="826"/>
        <w:gridCol w:w="109"/>
        <w:gridCol w:w="109"/>
        <w:gridCol w:w="109"/>
        <w:gridCol w:w="109"/>
        <w:gridCol w:w="211"/>
        <w:gridCol w:w="826"/>
        <w:gridCol w:w="156"/>
      </w:tblGrid>
      <w:tr>
        <w:trPr/>
        <w:tc>
          <w:tcPr>
            <w:tcW w:w="1575" w:type="dxa"/>
            <w:tcBorders/>
            <w:vAlign w:val="center"/>
          </w:tcPr>
          <w:p>
            <w:pPr>
              <w:pStyle w:val="TableContents"/>
              <w:bidi w:val="0"/>
              <w:spacing w:before="0" w:after="283"/>
              <w:jc w:val="left"/>
              <w:rPr>
                <w:sz w:val="4"/>
                <w:szCs w:val="4"/>
              </w:rPr>
            </w:pPr>
            <w:r>
              <w:rPr>
                <w:sz w:val="4"/>
                <w:szCs w:val="4"/>
              </w:rPr>
            </w:r>
          </w:p>
        </w:tc>
        <w:tc>
          <w:tcPr>
            <w:tcW w:w="1342" w:type="dxa"/>
            <w:tcBorders/>
            <w:vAlign w:val="center"/>
          </w:tcPr>
          <w:p>
            <w:pPr>
              <w:pStyle w:val="TableContents"/>
              <w:bidi w:val="0"/>
              <w:spacing w:before="0" w:after="283"/>
              <w:jc w:val="left"/>
              <w:rPr>
                <w:sz w:val="4"/>
                <w:szCs w:val="4"/>
              </w:rPr>
            </w:pPr>
            <w:r>
              <w:rPr>
                <w:sz w:val="4"/>
                <w:szCs w:val="4"/>
              </w:rPr>
            </w:r>
          </w:p>
        </w:tc>
        <w:tc>
          <w:tcPr>
            <w:tcW w:w="134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42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1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Fiscal Quarter Ended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66"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Three Fiscal Quarters Ended</w:t>
            </w:r>
          </w:p>
        </w:tc>
      </w:tr>
      <w:tr>
        <w:trPr/>
        <w:tc>
          <w:tcPr>
            <w:tcW w:w="42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September 30,</w:t>
              <w:b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October 1,</w:t>
              <w:b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September 30,</w:t>
              <w:b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October 1,</w:t>
              <w:br/>
              <w:t>2024</w:t>
            </w:r>
          </w:p>
        </w:tc>
      </w:tr>
      <w:tr>
        <w:trPr/>
        <w:tc>
          <w:tcPr>
            <w:tcW w:w="426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20"/>
              </w:rPr>
            </w:pPr>
            <w:r>
              <w:rPr>
                <w:rFonts w:ascii="Times New Roman;serif" w:hAnsi="Times New Roman;serif"/>
                <w:b w:val="false"/>
                <w:i/>
                <w:color w:val="000000"/>
                <w:sz w:val="20"/>
              </w:rPr>
              <w:t>Revenue: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6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Restaurant revenue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119,579 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120,163 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364,686 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363,897 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6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Franchising royalties and fees, and other</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2,507 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2,588 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7,627 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7,600 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6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Total segment revenue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122,086 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122,751 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372,313 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371,497 </w:t>
            </w:r>
          </w:p>
        </w:tc>
        <w:tc>
          <w:tcPr>
            <w:tcW w:w="15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6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Less: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6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Cost of sales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30,709 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30,665 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95,862 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91,223 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6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Labor</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37,499 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38,423 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116,174 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115,791 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6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Occupancy</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11,076 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11,543 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33,963 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34,985 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6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restaurant operating costs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24,558 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24,124 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74,628 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71,514 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6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General and administrative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12,272 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12,892 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37,486 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39,503 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6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Depreciation and amortization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6,604 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7,248 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20,833 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21,985 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6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Pre-opening</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1,422 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6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Restaurant impairments, closure costs and asset disposals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5,681 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2,202 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20,625 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15,488 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6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Total segment expenses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128,405 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127,551 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399,797 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391,911 </w:t>
            </w:r>
          </w:p>
        </w:tc>
        <w:tc>
          <w:tcPr>
            <w:tcW w:w="1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6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Segment loss from operations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(6,319)</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(4,800)</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(27,484)</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(20,414)</w:t>
            </w:r>
          </w:p>
        </w:tc>
        <w:tc>
          <w:tcPr>
            <w:tcW w:w="15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6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Reconciliation: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6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expense, net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2,827 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2,082 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8,227 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6,058 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6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Consolidated loss before income taxes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(9,146)</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(6,882)</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(35,711)</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(26,472)</w:t>
            </w:r>
          </w:p>
        </w:tc>
        <w:tc>
          <w:tcPr>
            <w:tcW w:w="15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tbl>
      <w:tblPr>
        <w:tblW w:w="6212" w:type="dxa"/>
        <w:jc w:val="left"/>
        <w:tblInd w:w="0" w:type="dxa"/>
        <w:tblLayout w:type="fixed"/>
        <w:tblCellMar>
          <w:top w:w="28" w:type="dxa"/>
          <w:left w:w="28" w:type="dxa"/>
          <w:bottom w:w="28" w:type="dxa"/>
          <w:right w:w="28" w:type="dxa"/>
        </w:tblCellMar>
      </w:tblPr>
      <w:tblGrid>
        <w:gridCol w:w="1266"/>
        <w:gridCol w:w="1112"/>
        <w:gridCol w:w="1116"/>
        <w:gridCol w:w="221"/>
        <w:gridCol w:w="865"/>
        <w:gridCol w:w="114"/>
        <w:gridCol w:w="109"/>
        <w:gridCol w:w="109"/>
        <w:gridCol w:w="109"/>
        <w:gridCol w:w="211"/>
        <w:gridCol w:w="826"/>
        <w:gridCol w:w="154"/>
      </w:tblGrid>
      <w:tr>
        <w:trPr/>
        <w:tc>
          <w:tcPr>
            <w:tcW w:w="1266" w:type="dxa"/>
            <w:tcBorders/>
            <w:vAlign w:val="center"/>
          </w:tcPr>
          <w:p>
            <w:pPr>
              <w:pStyle w:val="TableContents"/>
              <w:bidi w:val="0"/>
              <w:spacing w:before="0" w:after="283"/>
              <w:jc w:val="left"/>
              <w:rPr>
                <w:sz w:val="4"/>
                <w:szCs w:val="4"/>
              </w:rPr>
            </w:pPr>
            <w:r>
              <w:rPr>
                <w:sz w:val="4"/>
                <w:szCs w:val="4"/>
              </w:rPr>
            </w:r>
          </w:p>
        </w:tc>
        <w:tc>
          <w:tcPr>
            <w:tcW w:w="1112" w:type="dxa"/>
            <w:tcBorders/>
            <w:vAlign w:val="center"/>
          </w:tcPr>
          <w:p>
            <w:pPr>
              <w:pStyle w:val="TableContents"/>
              <w:bidi w:val="0"/>
              <w:spacing w:before="0" w:after="283"/>
              <w:jc w:val="left"/>
              <w:rPr>
                <w:sz w:val="4"/>
                <w:szCs w:val="4"/>
              </w:rPr>
            </w:pPr>
            <w:r>
              <w:rPr>
                <w:sz w:val="4"/>
                <w:szCs w:val="4"/>
              </w:rPr>
            </w:r>
          </w:p>
        </w:tc>
        <w:tc>
          <w:tcPr>
            <w:tcW w:w="1116"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c>
          <w:tcPr>
            <w:tcW w:w="865"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September 30,</w:t>
              <w:b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December 31,</w:t>
              <w:br/>
              <w:t>2024</w:t>
            </w:r>
          </w:p>
        </w:tc>
      </w:tr>
      <w:tr>
        <w:trPr/>
        <w:tc>
          <w:tcPr>
            <w:tcW w:w="349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Other segment disclosures (in thousands):</w:t>
            </w:r>
          </w:p>
        </w:tc>
        <w:tc>
          <w:tcPr>
            <w:tcW w:w="120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9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 xml:space="preserve">Total long-lived assets </w:t>
            </w:r>
            <w:r>
              <w:rPr>
                <w:rFonts w:ascii="Times New Roman;serif" w:hAnsi="Times New Roman;serif"/>
                <w:b w:val="false"/>
                <w:color w:val="000000"/>
                <w:sz w:val="13"/>
              </w:rPr>
              <w:t>(1)</w:t>
            </w:r>
          </w:p>
        </w:tc>
        <w:tc>
          <w:tcPr>
            <w:tcW w:w="22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6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247,612 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295,058 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assets</w:t>
            </w:r>
          </w:p>
        </w:tc>
        <w:tc>
          <w:tcPr>
            <w:tcW w:w="22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6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280,572 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324,648 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68" w:before="0" w:after="40"/>
        <w:jc w:val="left"/>
        <w:rPr>
          <w:rFonts w:ascii="Times New Roman;serif" w:hAnsi="Times New Roman;serif"/>
          <w:b w:val="false"/>
          <w:color w:val="000000"/>
          <w:sz w:val="16"/>
        </w:rPr>
      </w:pPr>
      <w:r>
        <w:rPr>
          <w:rFonts w:ascii="Times New Roman;serif" w:hAnsi="Times New Roman;serif"/>
          <w:b w:val="false"/>
          <w:color w:val="000000"/>
          <w:sz w:val="16"/>
        </w:rPr>
        <w:t>_____________________</w:t>
      </w:r>
    </w:p>
    <w:p>
      <w:pPr>
        <w:pStyle w:val="TextBody"/>
        <w:bidi w:val="0"/>
        <w:spacing w:lineRule="auto" w:line="288" w:before="60" w:after="240"/>
        <w:ind w:left="0" w:right="0" w:hanging="540"/>
        <w:jc w:val="both"/>
        <w:rPr>
          <w:rFonts w:ascii="Times New Roman;serif" w:hAnsi="Times New Roman;serif"/>
          <w:b w:val="false"/>
          <w:color w:val="000000"/>
          <w:sz w:val="16"/>
        </w:rPr>
      </w:pPr>
      <w:r>
        <w:rPr>
          <w:rFonts w:ascii="Times New Roman;serif" w:hAnsi="Times New Roman;serif"/>
          <w:b w:val="false"/>
          <w:color w:val="000000"/>
          <w:sz w:val="16"/>
        </w:rPr>
        <w:t xml:space="preserve">(1)Long-lived assets include the Company’s property and equipment and operating lease assets presented in the Condensed Consolidated Balance Sheets.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6">
                <wp:simplePos x="0" y="0"/>
                <wp:positionH relativeFrom="character">
                  <wp:align>left</wp:align>
                </wp:positionH>
                <wp:positionV relativeFrom="line">
                  <wp:posOffset>635</wp:posOffset>
                </wp:positionV>
                <wp:extent cx="6480175" cy="146685"/>
                <wp:effectExtent l="0" t="0" r="0" b="0"/>
                <wp:wrapNone/>
                <wp:docPr id="15" name="Frame1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14</w:t>
                      </w:r>
                    </w:p>
                  </w:txbxContent>
                </v:textbox>
                <w10:wrap type="none"/>
              </v:rect>
            </w:pict>
          </mc:Fallback>
        </mc:AlternateContent>
      </w:r>
    </w:p>
    <w:p>
      <w:pPr>
        <w:pStyle w:val="TextBody"/>
        <w:bidi w:val="0"/>
        <w:spacing w:lineRule="auto" w:line="288" w:before="160" w:after="160"/>
        <w:jc w:val="left"/>
        <w:rPr/>
      </w:pPr>
      <w:hyperlink w:anchor="i0388035fcf6a4f6ca5f569f2895a7d6a_10">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NOODLES &amp; COMPANY</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MANAGEMENT’S DISCUSSION AND ANALYSIS OF</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FINANCIAL CONDITION AND RESULTS OF OPERATIONS</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Item 2. Management’s Discussion and Analysis of Financial Condition and Results of Operations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i/>
          <w:color w:val="000000"/>
          <w:sz w:val="20"/>
        </w:rPr>
      </w:pPr>
      <w:r>
        <w:rPr>
          <w:rFonts w:ascii="Times New Roman;serif" w:hAnsi="Times New Roman;serif"/>
          <w:b w:val="false"/>
          <w:i/>
          <w:color w:val="000000"/>
          <w:sz w:val="20"/>
        </w:rPr>
        <w:t>Noodles &amp; Company is a Delaware corporation that was organized in 2002. Noodles &amp; Company and its subsidiaries are sometimes referred to as “we,” “us,” “our” and the “Company” in this report. The following discussion and analysis of our financial condition and results of operations should be read in conjunction with the accompanying unaudited condensed consolidated financial statements and related notes in Item 1 and with the audited consolidated financial statements and the related notes included in our Annual Report on Form 10-K for our fiscal year ended December 31, 2024. We operate on a 52- or 53-week fiscal year ending on the Tuesday closest to December 31. Our fiscal quarters each contain 13 operating weeks, with the exception of the fourth quarter of a 53-week fiscal year, which contains 14 operating weeks. Fiscal years 2025 and 2024 contain 52 weeks.    </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i/>
          <w:color w:val="000000"/>
          <w:sz w:val="20"/>
        </w:rPr>
      </w:pPr>
      <w:r>
        <w:rPr>
          <w:rFonts w:ascii="Times New Roman;serif" w:hAnsi="Times New Roman;serif"/>
          <w:b/>
          <w:i/>
          <w:color w:val="000000"/>
          <w:sz w:val="20"/>
        </w:rPr>
        <w:t>Cautionary Note Regarding Forward-Looking Statements</w:t>
      </w:r>
    </w:p>
    <w:p>
      <w:pPr>
        <w:pStyle w:val="TextBody"/>
        <w:bidi w:val="0"/>
        <w:spacing w:before="0" w:after="0"/>
        <w:jc w:val="both"/>
        <w:rPr/>
      </w:pPr>
      <w:r>
        <w:rPr/>
      </w:r>
    </w:p>
    <w:p>
      <w:pPr>
        <w:pStyle w:val="TextBody"/>
        <w:bidi w:val="0"/>
        <w:spacing w:lineRule="auto" w:line="288" w:before="0" w:after="0"/>
        <w:jc w:val="both"/>
        <w:rPr/>
      </w:pPr>
      <w:r>
        <w:rPr>
          <w:rFonts w:ascii="Times New Roman;serif" w:hAnsi="Times New Roman;serif"/>
          <w:b w:val="false"/>
          <w:i/>
          <w:color w:val="000000"/>
          <w:sz w:val="20"/>
        </w:rPr>
        <w:t>In addition to historical information, this discussion and analysis contains forward-looking statements within the meaning of the Private Securities Litigation Reform Act of 1995 that involve risks and uncertainties such as the number of restaurants we intend to open, projected capital expenditures and estimates of our effective tax rates. In some cases, you can identify forward-looking statements by terms such as “may,” “might,” “will,” “objective,” “intend,” “should,” “could,” “can,” “would,” “expect,” “believe,” “design,” “estimate,” “predict,” “potential,” “plan” or the negative of these terms and similar expressions intended to identify forward-looking statements. These statements reflect our current views with respect to future events and are based on currently available operating, financial and competitive information. Examples of forward-looking statements include all matters that are not historical facts, such as statements regarding expectations with respect to unit growth and planned restaurant openings, projected capital expenditures and our financial condition and liquidity needs</w:t>
      </w:r>
      <w:r>
        <w:rPr>
          <w:rFonts w:ascii="Times New Roman;serif" w:hAnsi="Times New Roman;serif"/>
          <w:b w:val="false"/>
          <w:i/>
          <w:color w:val="000000"/>
          <w:sz w:val="20"/>
          <w:shd w:fill="FFFFFF" w:val="clear"/>
        </w:rPr>
        <w:t>. Our actual results may differ materially from those anticipated in these forward-looking statements due to reasons including, but not limited to, uncertainties as to the availability, suitability, structure, terms, and timing of any strategic transaction resulting from the strategic review and whether any such transaction will be completed, the impact of any such strategic transaction on Noodles &amp; Company, whether the strategic benefits of any such strategic transaction can be achieved; current performance trends and our expectations for future performance and ability to obtain financing on acceptable terms, if at all, and comply with our covenants under the A&amp;R Credit Agreement, our ability to sustain our overall growth, including, our digital sales growth; our ability to effectively optimize our restaurant portfolio including closures; our ability to achieve and maintain increases in comparable restaurant sales and to successfully execute our business strategy, inc</w:t>
      </w:r>
      <w:r>
        <w:rPr>
          <w:rFonts w:ascii="Times New Roman;serif" w:hAnsi="Times New Roman;serif"/>
          <w:b w:val="false"/>
          <w:i/>
          <w:color w:val="000000"/>
          <w:sz w:val="20"/>
        </w:rPr>
        <w:t>luding operational strategies to improve the performance of our restaurant portfolio; the success of our brand strategy and marketing efforts, including our ability to successfully introduce new menu items, including limited time offerings and the success of our promotions; our pricing strategies; economic conditions, including inflation, an economic recess</w:t>
      </w:r>
      <w:r>
        <w:rPr>
          <w:rFonts w:ascii="Times New Roman;serif" w:hAnsi="Times New Roman;serif"/>
          <w:b w:val="false"/>
          <w:i/>
          <w:color w:val="000000"/>
          <w:sz w:val="20"/>
          <w:shd w:fill="FFFFFF" w:val="clear"/>
        </w:rPr>
        <w:t>ion, an elevated interest rate environment, tariffs and trade restrictions and any impact of government shutdowns on overall economic conditions and consumer spending; price</w:t>
      </w:r>
      <w:r>
        <w:rPr>
          <w:color w:val="000000"/>
        </w:rPr>
        <w:t xml:space="preserve"> </w:t>
      </w:r>
      <w:r>
        <w:rPr>
          <w:rFonts w:ascii="Times New Roman;serif" w:hAnsi="Times New Roman;serif"/>
          <w:b w:val="false"/>
          <w:i/>
          <w:color w:val="000000"/>
          <w:sz w:val="20"/>
        </w:rPr>
        <w:t>and availability of commodities and other supply chain challenges; our ability to adequately staff our restaurants; changes in labor costs; our ability to maintain compliance with requirements for continued listing on the Nasdaq Global Select Market; other conditions beyond our control such as domestic or global conflicts, wars, terrorist activity, weather, natural disasters, disease outbreaks, epidemics or pandemics impacting our customers or food supplies; and consumer reaction to industry related public health issues and health pandemics, including perceptions of food safety and those discussed in “Special Note Regarding Forward-Looking Statements” and “Risk Factors” as filed in our Annual Report on Form 10-K for our fiscal year ended December 31, 2024 and as updated by Item 1A. Risk Factors of this 10-Q Report.</w:t>
      </w:r>
    </w:p>
    <w:p>
      <w:pPr>
        <w:pStyle w:val="TextBody"/>
        <w:bidi w:val="0"/>
        <w:spacing w:before="0" w:after="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7">
                <wp:simplePos x="0" y="0"/>
                <wp:positionH relativeFrom="character">
                  <wp:align>left</wp:align>
                </wp:positionH>
                <wp:positionV relativeFrom="line">
                  <wp:posOffset>635</wp:posOffset>
                </wp:positionV>
                <wp:extent cx="6480175" cy="146685"/>
                <wp:effectExtent l="0" t="0" r="0" b="0"/>
                <wp:wrapNone/>
                <wp:docPr id="16" name="Frame1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15</w:t>
                      </w:r>
                    </w:p>
                  </w:txbxContent>
                </v:textbox>
                <w10:wrap type="none"/>
              </v:rect>
            </w:pict>
          </mc:Fallback>
        </mc:AlternateContent>
      </w:r>
    </w:p>
    <w:p>
      <w:pPr>
        <w:pStyle w:val="TextBody"/>
        <w:bidi w:val="0"/>
        <w:spacing w:lineRule="auto" w:line="288" w:before="160" w:after="160"/>
        <w:jc w:val="left"/>
        <w:rPr/>
      </w:pPr>
      <w:hyperlink w:anchor="i0388035fcf6a4f6ca5f569f2895a7d6a_10">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jc w:val="both"/>
        <w:rPr>
          <w:rFonts w:ascii="Times New Roman;serif" w:hAnsi="Times New Roman;serif"/>
          <w:b/>
          <w:color w:val="000000"/>
          <w:sz w:val="20"/>
        </w:rPr>
      </w:pPr>
      <w:r>
        <w:rPr>
          <w:rFonts w:ascii="Times New Roman;serif" w:hAnsi="Times New Roman;serif"/>
          <w:b/>
          <w:color w:val="000000"/>
          <w:sz w:val="20"/>
        </w:rPr>
        <w:t>Recent Trends, Risks and Uncertainties</w:t>
      </w:r>
    </w:p>
    <w:p>
      <w:pPr>
        <w:pStyle w:val="TextBody"/>
        <w:bidi w:val="0"/>
        <w:spacing w:before="0" w:after="0"/>
        <w:jc w:val="both"/>
        <w:rPr/>
      </w:pPr>
      <w:r>
        <w:rPr/>
      </w:r>
    </w:p>
    <w:p>
      <w:pPr>
        <w:pStyle w:val="TextBody"/>
        <w:bidi w:val="0"/>
        <w:spacing w:lineRule="auto" w:line="276" w:before="0" w:after="0"/>
        <w:jc w:val="both"/>
        <w:rPr/>
      </w:pPr>
      <w:r>
        <w:rPr>
          <w:rFonts w:ascii="Times New Roman;serif" w:hAnsi="Times New Roman;serif"/>
          <w:b w:val="false"/>
          <w:i/>
          <w:color w:val="000000"/>
          <w:sz w:val="20"/>
          <w:shd w:fill="FFFFFF" w:val="clear"/>
        </w:rPr>
        <w:t>Strategic Review.</w:t>
      </w:r>
      <w:r>
        <w:rPr>
          <w:color w:val="000000"/>
        </w:rPr>
        <w:t xml:space="preserve"> </w:t>
      </w:r>
      <w:r>
        <w:rPr>
          <w:rFonts w:ascii="Times New Roman;serif" w:hAnsi="Times New Roman;serif"/>
          <w:b w:val="false"/>
          <w:color w:val="000000"/>
          <w:sz w:val="20"/>
          <w:shd w:fill="FFFFFF" w:val="clear"/>
        </w:rPr>
        <w:t>On September 3, 2025, we announced that our Board of Directors had initiated a review of strategic alternatives in order to explore ways to maximize stockholder value. The review includes a range of potential strategic alternatives, including a refinancing of existing indebtedness, refranchising or sale of all or part of the business, and/or other strategic or financial transactions.</w:t>
      </w:r>
      <w:r>
        <w:rPr>
          <w:color w:val="000000"/>
        </w:rPr>
        <w:t xml:space="preserve"> </w:t>
      </w:r>
      <w:r>
        <w:rPr>
          <w:rFonts w:ascii="Times New Roman;serif" w:hAnsi="Times New Roman;serif"/>
          <w:b w:val="false"/>
          <w:color w:val="000000"/>
          <w:sz w:val="20"/>
          <w:shd w:fill="FFFFFF" w:val="clear"/>
        </w:rPr>
        <w:t>Such review remains in process.</w:t>
      </w:r>
    </w:p>
    <w:p>
      <w:pPr>
        <w:pStyle w:val="TextBody"/>
        <w:bidi w:val="0"/>
        <w:spacing w:before="0" w:after="0"/>
        <w:jc w:val="both"/>
        <w:rPr/>
      </w:pPr>
      <w:r>
        <w:rPr/>
      </w:r>
    </w:p>
    <w:p>
      <w:pPr>
        <w:pStyle w:val="TextBody"/>
        <w:bidi w:val="0"/>
        <w:spacing w:lineRule="auto" w:line="288" w:before="0" w:after="0"/>
        <w:jc w:val="both"/>
        <w:rPr/>
      </w:pPr>
      <w:r>
        <w:rPr>
          <w:rFonts w:ascii="Times New Roman;serif" w:hAnsi="Times New Roman;serif"/>
          <w:b w:val="false"/>
          <w:i/>
          <w:color w:val="000000"/>
          <w:sz w:val="20"/>
          <w:shd w:fill="FFFFFF" w:val="clear"/>
        </w:rPr>
        <w:t>Revenue.</w:t>
      </w:r>
      <w:r>
        <w:rPr>
          <w:color w:val="000000"/>
          <w:shd w:fill="FFFFFF" w:val="clear"/>
        </w:rPr>
        <w:t xml:space="preserve"> </w:t>
      </w:r>
      <w:r>
        <w:rPr>
          <w:rFonts w:ascii="Times New Roman;serif" w:hAnsi="Times New Roman;serif"/>
          <w:b w:val="false"/>
          <w:color w:val="000000"/>
          <w:sz w:val="20"/>
          <w:shd w:fill="FFFFFF" w:val="clear"/>
        </w:rPr>
        <w:t>In the third quarter, we saw a decrease in revenue as a result of permanent restaurant closures, which was mostly offset by revenue growth from an increase in system-wide comparable restaurant sales. System-wide comparable restaurant sales increased 4.0% in the third quarter of 2025 compared to the same period of 2024, comprised of a 4.0% increase at company-owned restaurants and a 4.3% increase at franchise-owned restaurants.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 xml:space="preserve">Near-term sales growth remains constrained by macroeconomic uncertainty and current consumer sentiment. Our comparable restaurant sales have been positive since the introduction of our new menu, and have accelerated in the third quarter and further into the fourth quarter, aided by the introduction of Delicious Duos in late July and the introduction of Chili Garlic Ramen in October. </w:t>
      </w:r>
    </w:p>
    <w:p>
      <w:pPr>
        <w:pStyle w:val="TextBody"/>
        <w:bidi w:val="0"/>
        <w:spacing w:before="0" w:after="0"/>
        <w:jc w:val="both"/>
        <w:rPr/>
      </w:pPr>
      <w:r>
        <w:rPr/>
      </w:r>
    </w:p>
    <w:p>
      <w:pPr>
        <w:pStyle w:val="TextBody"/>
        <w:bidi w:val="0"/>
        <w:spacing w:lineRule="auto" w:line="288" w:before="0" w:after="0"/>
        <w:jc w:val="both"/>
        <w:rPr/>
      </w:pPr>
      <w:r>
        <w:rPr>
          <w:rFonts w:ascii="Times New Roman;serif" w:hAnsi="Times New Roman;serif"/>
          <w:b w:val="false"/>
          <w:i/>
          <w:color w:val="000000"/>
          <w:sz w:val="20"/>
        </w:rPr>
        <w:t>C</w:t>
      </w:r>
      <w:r>
        <w:rPr>
          <w:rFonts w:ascii="Times New Roman;serif" w:hAnsi="Times New Roman;serif"/>
          <w:b w:val="false"/>
          <w:i/>
          <w:color w:val="000000"/>
          <w:sz w:val="20"/>
          <w:shd w:fill="FFFFFF" w:val="clear"/>
        </w:rPr>
        <w:t>ost of Sales.</w:t>
      </w:r>
      <w:r>
        <w:rPr>
          <w:color w:val="000000"/>
          <w:shd w:fill="FFFFFF" w:val="clear"/>
        </w:rPr>
        <w:t xml:space="preserve"> </w:t>
      </w:r>
      <w:r>
        <w:rPr>
          <w:rFonts w:ascii="Times New Roman;serif" w:hAnsi="Times New Roman;serif"/>
          <w:b w:val="false"/>
          <w:color w:val="000000"/>
          <w:sz w:val="20"/>
          <w:shd w:fill="FFFFFF" w:val="clear"/>
        </w:rPr>
        <w:t xml:space="preserve">Our first three quarters of 2025 cost of sales were impacted by our comprehensive menu upgrade as some new menu items had a higher cost than the items that were replaced. We continue to monitor commodity inflation and, throughout periods of volatility, we will continue to work with our suppliers to identify ongoing supply chain efficiencies, including adding additional suppliers as necessary. </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We have evaluated and will continue to evaluate the impact of import laws and tariffs on our operations as some of our food items are imported from India, Mexico and other countries. As of September 30, 2025, there was no material impact on our business, financial condition, results of operations or cash flows. However, we expect tariffs may impact our operations in certain areas, such as food and beverage costs, construction and equipment costs and other restaurant operating costs, for the remainder of fiscal 2025 and into 2026. We will continue to utilize fixed price contracts for certain key items to mitigate risk.</w:t>
      </w:r>
    </w:p>
    <w:p>
      <w:pPr>
        <w:pStyle w:val="TextBody"/>
        <w:bidi w:val="0"/>
        <w:spacing w:before="0" w:after="0"/>
        <w:jc w:val="left"/>
        <w:rPr/>
      </w:pPr>
      <w:r>
        <w:rPr/>
      </w:r>
    </w:p>
    <w:p>
      <w:pPr>
        <w:pStyle w:val="TextBody"/>
        <w:bidi w:val="0"/>
        <w:spacing w:lineRule="auto" w:line="288" w:before="0" w:after="0"/>
        <w:jc w:val="both"/>
        <w:rPr/>
      </w:pPr>
      <w:r>
        <w:rPr>
          <w:rFonts w:ascii="Times New Roman;serif" w:hAnsi="Times New Roman;serif"/>
          <w:b w:val="false"/>
          <w:i/>
          <w:color w:val="000000"/>
          <w:sz w:val="20"/>
          <w:shd w:fill="FFFFFF" w:val="clear"/>
        </w:rPr>
        <w:t>Labor Costs.</w:t>
      </w:r>
      <w:r>
        <w:rPr>
          <w:color w:val="000000"/>
          <w:shd w:fill="FFFFFF" w:val="clear"/>
        </w:rPr>
        <w:t xml:space="preserve"> </w:t>
      </w:r>
      <w:r>
        <w:rPr>
          <w:rFonts w:ascii="Times New Roman;serif" w:hAnsi="Times New Roman;serif"/>
          <w:b w:val="false"/>
          <w:color w:val="000000"/>
          <w:sz w:val="20"/>
          <w:shd w:fill="FFFFFF" w:val="clear"/>
        </w:rPr>
        <w:t>Similar to much of the restaurant industry, our base labor costs have risen in recent years. We have been able to partially mitigate the impact of these market factors through a continued focus on maximizing efficiencies of labor hour usage per restaurant and wage inflation has stabilized to less than 3%.</w:t>
      </w:r>
    </w:p>
    <w:p>
      <w:pPr>
        <w:pStyle w:val="TextBody"/>
        <w:bidi w:val="0"/>
        <w:spacing w:before="0" w:after="0"/>
        <w:jc w:val="both"/>
        <w:rPr/>
      </w:pPr>
      <w:r>
        <w:rPr/>
      </w:r>
    </w:p>
    <w:p>
      <w:pPr>
        <w:pStyle w:val="TextBody"/>
        <w:bidi w:val="0"/>
        <w:spacing w:lineRule="auto" w:line="288" w:before="0" w:after="0"/>
        <w:jc w:val="both"/>
        <w:rPr/>
      </w:pPr>
      <w:r>
        <w:rPr>
          <w:rFonts w:ascii="Times New Roman;serif" w:hAnsi="Times New Roman;serif"/>
          <w:b w:val="false"/>
          <w:i/>
          <w:color w:val="000000"/>
          <w:sz w:val="20"/>
        </w:rPr>
        <w:t xml:space="preserve">Other Restaurant Operating Costs. </w:t>
      </w:r>
      <w:r>
        <w:rPr>
          <w:rFonts w:ascii="Times New Roman;serif" w:hAnsi="Times New Roman;serif"/>
          <w:b w:val="false"/>
          <w:color w:val="000000"/>
          <w:sz w:val="20"/>
          <w:shd w:fill="FFFFFF" w:val="clear"/>
        </w:rPr>
        <w:t>We have incurred, and expect to continue to incur, increased third-party delivery fees due to significant increased usage of third-party delivery services resulting in a higher mix of third party delivery sales.</w:t>
      </w:r>
    </w:p>
    <w:p>
      <w:pPr>
        <w:pStyle w:val="TextBody"/>
        <w:bidi w:val="0"/>
        <w:spacing w:before="0" w:after="0"/>
        <w:jc w:val="both"/>
        <w:rPr/>
      </w:pPr>
      <w:r>
        <w:rPr/>
      </w:r>
    </w:p>
    <w:p>
      <w:pPr>
        <w:pStyle w:val="TextBody"/>
        <w:bidi w:val="0"/>
        <w:spacing w:lineRule="auto" w:line="288" w:before="0" w:after="0"/>
        <w:jc w:val="both"/>
        <w:rPr/>
      </w:pPr>
      <w:r>
        <w:rPr>
          <w:rFonts w:ascii="Times New Roman;serif" w:hAnsi="Times New Roman;serif"/>
          <w:b w:val="false"/>
          <w:i/>
          <w:color w:val="000000"/>
          <w:sz w:val="20"/>
        </w:rPr>
        <w:t>Restaurant Development.</w:t>
      </w:r>
      <w:r>
        <w:rPr>
          <w:color w:val="000000"/>
          <w:shd w:fill="FFFFFF" w:val="clear"/>
        </w:rPr>
        <w:t xml:space="preserve"> </w:t>
      </w:r>
      <w:r>
        <w:rPr>
          <w:rFonts w:ascii="Times New Roman;serif" w:hAnsi="Times New Roman;serif"/>
          <w:b w:val="false"/>
          <w:color w:val="000000"/>
          <w:sz w:val="20"/>
          <w:shd w:fill="FFFFFF" w:val="clear"/>
        </w:rPr>
        <w:t xml:space="preserve">In the first three quarters of 2025, we opened two new company-owned restaurants, which completes our restaurant development for 2025. As of September 30, 2025, we had 349 company-owned restaurants and 86 franchise restaurants in 31 states. </w:t>
      </w:r>
    </w:p>
    <w:p>
      <w:pPr>
        <w:pStyle w:val="TextBody"/>
        <w:bidi w:val="0"/>
        <w:spacing w:before="0" w:after="0"/>
        <w:jc w:val="both"/>
        <w:rPr/>
      </w:pPr>
      <w:r>
        <w:rPr/>
      </w:r>
    </w:p>
    <w:p>
      <w:pPr>
        <w:pStyle w:val="TextBody"/>
        <w:bidi w:val="0"/>
        <w:spacing w:lineRule="auto" w:line="288" w:before="0" w:after="0"/>
        <w:jc w:val="both"/>
        <w:rPr/>
      </w:pPr>
      <w:r>
        <w:rPr>
          <w:rFonts w:ascii="Times New Roman;serif" w:hAnsi="Times New Roman;serif"/>
          <w:b w:val="false"/>
          <w:i/>
          <w:color w:val="000000"/>
          <w:sz w:val="20"/>
        </w:rPr>
        <w:t>Impair</w:t>
      </w:r>
      <w:r>
        <w:rPr>
          <w:rFonts w:ascii="Times New Roman;serif" w:hAnsi="Times New Roman;serif"/>
          <w:b w:val="false"/>
          <w:i/>
          <w:color w:val="000000"/>
          <w:sz w:val="20"/>
          <w:shd w:fill="FFFFFF" w:val="clear"/>
        </w:rPr>
        <w:t>ments and Certain Restaurant Closures.</w:t>
      </w:r>
      <w:r>
        <w:rPr>
          <w:color w:val="000000"/>
          <w:shd w:fill="FFFFFF" w:val="clear"/>
        </w:rPr>
        <w:t xml:space="preserve"> </w:t>
      </w:r>
      <w:r>
        <w:rPr>
          <w:rFonts w:ascii="Times New Roman;serif" w:hAnsi="Times New Roman;serif"/>
          <w:b w:val="false"/>
          <w:color w:val="000000"/>
          <w:sz w:val="20"/>
          <w:shd w:fill="FFFFFF" w:val="clear"/>
        </w:rPr>
        <w:t>We impaired fixed assets related to 24 restaurants in the first</w:t>
      </w:r>
      <w:r>
        <w:rPr>
          <w:color w:val="000000"/>
          <w:shd w:fill="FFFFFF" w:val="clear"/>
        </w:rPr>
        <w:t xml:space="preserve"> </w:t>
      </w:r>
      <w:r>
        <w:rPr>
          <w:rFonts w:ascii="Times New Roman;serif" w:hAnsi="Times New Roman;serif"/>
          <w:b w:val="false"/>
          <w:color w:val="000000"/>
          <w:sz w:val="20"/>
          <w:shd w:fill="FFFFFF" w:val="clear"/>
        </w:rPr>
        <w:t xml:space="preserve">three quarters of 2025 primarily related to closure decisions on underperforming restaurants. In the first three quarters of 2025, we wrote down lease-related assets for </w:t>
      </w:r>
      <w:r>
        <w:rPr>
          <w:rFonts w:ascii="Times New Roman;serif" w:hAnsi="Times New Roman;serif"/>
          <w:b w:val="false"/>
          <w:color w:val="000000"/>
          <w:sz w:val="20"/>
        </w:rPr>
        <w:t>20</w:t>
      </w:r>
      <w:r>
        <w:rPr>
          <w:color w:val="000000"/>
          <w:shd w:fill="FFFFFF" w:val="clear"/>
        </w:rPr>
        <w:t xml:space="preserve"> </w:t>
      </w:r>
      <w:r>
        <w:rPr>
          <w:rFonts w:ascii="Times New Roman;serif" w:hAnsi="Times New Roman;serif"/>
          <w:b w:val="false"/>
          <w:color w:val="000000"/>
          <w:sz w:val="20"/>
          <w:shd w:fill="FFFFFF" w:val="clear"/>
        </w:rPr>
        <w:t xml:space="preserve">restaurants. We permanently closed 24 company-owned restaurants in the first three quarters of 2025 and we anticipate closing an additional six to eight restaurants in 2025. We continue to analyze our restaurant portfolio and expect to close certain restaurants that are either generating low or negative cash flows, at or are approaching the expiration of their leases or in trade areas that are not as well positioned for current consumer trends. </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both"/>
        <w:rPr>
          <w:rFonts w:ascii="Times New Roman;serif" w:hAnsi="Times New Roman;serif"/>
          <w:b/>
          <w:color w:val="000000"/>
          <w:sz w:val="20"/>
        </w:rPr>
      </w:pPr>
      <w:r>
        <w:rPr>
          <w:rFonts w:ascii="Times New Roman;serif" w:hAnsi="Times New Roman;serif"/>
          <w:b/>
          <w:color w:val="000000"/>
          <w:sz w:val="20"/>
        </w:rPr>
        <w:t>Key Measures We Use to Evaluate Our Performance</w:t>
      </w:r>
    </w:p>
    <w:p>
      <w:pPr>
        <w:pStyle w:val="TextBody"/>
        <w:bidi w:val="0"/>
        <w:spacing w:before="0" w:after="0"/>
        <w:jc w:val="both"/>
        <w:rPr/>
      </w:pPr>
      <w:r>
        <w:rPr/>
      </w:r>
    </w:p>
    <w:p>
      <w:pPr>
        <w:pStyle w:val="TextBody"/>
        <w:bidi w:val="0"/>
        <w:spacing w:lineRule="auto" w:line="288" w:before="0" w:after="0"/>
        <w:jc w:val="both"/>
        <w:rPr/>
      </w:pPr>
      <w:r>
        <w:rPr>
          <w:rFonts w:ascii="Times New Roman;serif" w:hAnsi="Times New Roman;serif"/>
          <w:b w:val="false"/>
          <w:color w:val="000000"/>
          <w:sz w:val="20"/>
        </w:rPr>
        <w:t xml:space="preserve">To evaluate the performance of our business, we utilize a variety of financial and performance measures. These key measures include revenue, comparable restaurant sales, average unit volumes (“AUVs”), </w:t>
      </w:r>
      <w:r>
        <w:rPr>
          <w:rFonts w:ascii="Times New Roman;serif" w:hAnsi="Times New Roman;serif"/>
          <w:b w:val="false"/>
          <w:color w:val="000000"/>
          <w:sz w:val="20"/>
          <w:shd w:fill="FFFFFF" w:val="clear"/>
        </w:rPr>
        <w:t>restaurant contribution, restaurant contribution margin, EBITDA and adjusted EBITDA. Restaurant contribution, restaurant contribution margin, EBITDA and adjusted EBITDA are non-GAAP financial measures.</w:t>
      </w:r>
    </w:p>
    <w:p>
      <w:pPr>
        <w:pStyle w:val="TextBody"/>
        <w:bidi w:val="0"/>
        <w:spacing w:before="0" w:after="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8">
                <wp:simplePos x="0" y="0"/>
                <wp:positionH relativeFrom="character">
                  <wp:align>left</wp:align>
                </wp:positionH>
                <wp:positionV relativeFrom="line">
                  <wp:posOffset>635</wp:posOffset>
                </wp:positionV>
                <wp:extent cx="6480175" cy="146685"/>
                <wp:effectExtent l="0" t="0" r="0" b="0"/>
                <wp:wrapNone/>
                <wp:docPr id="17" name="Frame1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16</w:t>
                      </w:r>
                    </w:p>
                  </w:txbxContent>
                </v:textbox>
                <w10:wrap type="none"/>
              </v:rect>
            </w:pict>
          </mc:Fallback>
        </mc:AlternateContent>
      </w:r>
    </w:p>
    <w:p>
      <w:pPr>
        <w:pStyle w:val="TextBody"/>
        <w:bidi w:val="0"/>
        <w:spacing w:lineRule="auto" w:line="288" w:before="160" w:after="160"/>
        <w:jc w:val="left"/>
        <w:rPr/>
      </w:pPr>
      <w:hyperlink w:anchor="i0388035fcf6a4f6ca5f569f2895a7d6a_10">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jc w:val="both"/>
        <w:rPr>
          <w:rFonts w:ascii="Times New Roman;serif" w:hAnsi="Times New Roman;serif"/>
          <w:b/>
          <w:i/>
          <w:color w:val="000000"/>
          <w:sz w:val="20"/>
        </w:rPr>
      </w:pPr>
      <w:r>
        <w:rPr>
          <w:rFonts w:ascii="Times New Roman;serif" w:hAnsi="Times New Roman;serif"/>
          <w:b/>
          <w:i/>
          <w:color w:val="000000"/>
          <w:sz w:val="20"/>
        </w:rPr>
        <w:t>Revenue</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Revenue includes both restaurant revenue and franchise royalties and fees. Restaurant revenue represents sales of food and beverages in company-owned restaurants. Several factors affect our restaurant revenue in any period, including the number of restaurants in operation and per-restaurant sales. Franchise royalties and fees represent royalty income and initial franchise fees. While we expect that the majority of our revenue and net income growth will be driven by company-owned restaurants, our franchise restaurants remain an important factor impacting our revenue and financial performance.</w:t>
      </w:r>
    </w:p>
    <w:p>
      <w:pPr>
        <w:pStyle w:val="TextBody"/>
        <w:bidi w:val="0"/>
        <w:spacing w:before="0" w:after="0"/>
        <w:jc w:val="both"/>
        <w:rPr/>
      </w:pPr>
      <w:r>
        <w:rPr/>
      </w:r>
    </w:p>
    <w:p>
      <w:pPr>
        <w:pStyle w:val="TextBody"/>
        <w:bidi w:val="0"/>
        <w:spacing w:lineRule="auto" w:line="288" w:before="0" w:after="0"/>
        <w:jc w:val="both"/>
        <w:rPr/>
      </w:pPr>
      <w:r>
        <w:rPr>
          <w:rFonts w:ascii="Times New Roman;serif" w:hAnsi="Times New Roman;serif"/>
          <w:b w:val="false"/>
          <w:color w:val="000000"/>
          <w:sz w:val="20"/>
        </w:rPr>
        <w:t>Seasonal factors cause our revenue to fluctuate from quarter to quarter. Our revenue per restaurant is typically lower in the first and fourth quarters, due to reduced winter and holiday traffic, and is typically higher in the second and third quarters. As a result of these fact</w:t>
      </w:r>
      <w:r>
        <w:rPr>
          <w:rFonts w:ascii="Times New Roman;serif" w:hAnsi="Times New Roman;serif"/>
          <w:b w:val="false"/>
          <w:color w:val="000000"/>
          <w:sz w:val="20"/>
          <w:shd w:fill="FFFFFF" w:val="clear"/>
        </w:rPr>
        <w:t xml:space="preserve">ors, </w:t>
      </w:r>
      <w:r>
        <w:rPr>
          <w:rFonts w:ascii="Times New Roman;serif" w:hAnsi="Times New Roman;serif"/>
          <w:b w:val="false"/>
          <w:color w:val="000000"/>
          <w:sz w:val="20"/>
        </w:rPr>
        <w:t xml:space="preserve">our quarterly operating results and restaurant sales may fluctuate significantly. </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i/>
          <w:color w:val="000000"/>
          <w:sz w:val="20"/>
        </w:rPr>
      </w:pPr>
      <w:r>
        <w:rPr>
          <w:rFonts w:ascii="Times New Roman;serif" w:hAnsi="Times New Roman;serif"/>
          <w:b/>
          <w:i/>
          <w:color w:val="000000"/>
          <w:sz w:val="20"/>
        </w:rPr>
        <w:t>Comparable Restaurant Sales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Comparable restaurant sales refer to year-over-year sales comparisons for the comparable restaurant base. We define the comparable restaurant base to include restaurants open for at least 18 full periods. This measure highlights the performance of existing restaurants, as the impact of new restaurant openings is excluded. Changes in comparable restaurant sales are generated by changes in traffic, which we calculate as the number of entrées sold, and changes in per-person spend, calculated as sales divided by traffic. Per-person spend can be influenced by changes in menu prices and the mix and number of items sold per person. Restaurants that were temporarily closed or operating at reduced hours remained in comparable restaurant sales. </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Measuring our comparable restaurant sales allows us to evaluate the performance of our existing restaurant base. Various factors impact comparable restaurant sales, including, but not limited to:</w:t>
      </w:r>
    </w:p>
    <w:p>
      <w:pPr>
        <w:pStyle w:val="TextBody"/>
        <w:bidi w:val="0"/>
        <w:spacing w:before="0" w:after="0"/>
        <w:jc w:val="both"/>
        <w:rPr/>
      </w:pPr>
      <w:r>
        <w:rPr/>
      </w:r>
    </w:p>
    <w:p>
      <w:pPr>
        <w:pStyle w:val="TextBody"/>
        <w:bidi w:val="0"/>
        <w:spacing w:lineRule="auto" w:line="288" w:before="0" w:after="0"/>
        <w:ind w:left="0" w:right="0" w:hanging="720"/>
        <w:jc w:val="left"/>
        <w:rPr/>
      </w:pPr>
      <w:r>
        <w:rPr>
          <w:color w:val="000000"/>
        </w:rPr>
        <w:t>•</w:t>
      </w:r>
      <w:r>
        <w:rPr>
          <w:rFonts w:ascii="Times New Roman;serif" w:hAnsi="Times New Roman;serif"/>
          <w:b w:val="false"/>
          <w:color w:val="000000"/>
          <w:sz w:val="20"/>
        </w:rPr>
        <w:t>introduction of new and seasonal menu items and limited time offerings;</w:t>
      </w:r>
    </w:p>
    <w:p>
      <w:pPr>
        <w:pStyle w:val="TextBody"/>
        <w:bidi w:val="0"/>
        <w:spacing w:before="0" w:after="0"/>
        <w:ind w:left="0" w:right="0" w:hanging="360"/>
        <w:jc w:val="left"/>
        <w:rPr/>
      </w:pPr>
      <w:r>
        <w:rPr/>
      </w:r>
    </w:p>
    <w:p>
      <w:pPr>
        <w:pStyle w:val="TextBody"/>
        <w:bidi w:val="0"/>
        <w:spacing w:lineRule="auto" w:line="288" w:before="0" w:after="0"/>
        <w:ind w:left="0" w:right="0" w:hanging="720"/>
        <w:jc w:val="left"/>
        <w:rPr/>
      </w:pPr>
      <w:r>
        <w:rPr>
          <w:color w:val="000000"/>
        </w:rPr>
        <w:t>•</w:t>
      </w:r>
      <w:r>
        <w:rPr>
          <w:rFonts w:ascii="Times New Roman;serif" w:hAnsi="Times New Roman;serif"/>
          <w:b w:val="false"/>
          <w:color w:val="000000"/>
          <w:sz w:val="20"/>
        </w:rPr>
        <w:t>consumer recognition of our brand and our ability to respond to changing consumer preferences;</w:t>
      </w:r>
    </w:p>
    <w:p>
      <w:pPr>
        <w:pStyle w:val="TextBody"/>
        <w:bidi w:val="0"/>
        <w:spacing w:before="0" w:after="0"/>
        <w:ind w:left="0" w:right="0" w:hanging="720"/>
        <w:jc w:val="left"/>
        <w:rPr/>
      </w:pPr>
      <w:r>
        <w:rPr/>
      </w:r>
    </w:p>
    <w:p>
      <w:pPr>
        <w:pStyle w:val="TextBody"/>
        <w:bidi w:val="0"/>
        <w:spacing w:lineRule="auto" w:line="288" w:before="0" w:after="0"/>
        <w:ind w:left="0" w:right="0" w:hanging="720"/>
        <w:jc w:val="left"/>
        <w:rPr/>
      </w:pPr>
      <w:r>
        <w:rPr>
          <w:color w:val="000000"/>
        </w:rPr>
        <w:t>•</w:t>
      </w:r>
      <w:r>
        <w:rPr>
          <w:rFonts w:ascii="Times New Roman;serif" w:hAnsi="Times New Roman;serif"/>
          <w:b w:val="false"/>
          <w:color w:val="000000"/>
          <w:sz w:val="20"/>
        </w:rPr>
        <w:t>overall economic trends, particularly those that impact consumer sentiment, financial health and spending;</w:t>
      </w:r>
    </w:p>
    <w:p>
      <w:pPr>
        <w:pStyle w:val="TextBody"/>
        <w:bidi w:val="0"/>
        <w:spacing w:before="0" w:after="0"/>
        <w:ind w:left="0" w:right="0" w:hanging="720"/>
        <w:jc w:val="left"/>
        <w:rPr/>
      </w:pPr>
      <w:r>
        <w:rPr/>
      </w:r>
    </w:p>
    <w:p>
      <w:pPr>
        <w:pStyle w:val="TextBody"/>
        <w:bidi w:val="0"/>
        <w:spacing w:lineRule="auto" w:line="288" w:before="0" w:after="0"/>
        <w:ind w:left="0" w:right="0" w:hanging="720"/>
        <w:jc w:val="left"/>
        <w:rPr/>
      </w:pPr>
      <w:r>
        <w:rPr>
          <w:color w:val="000000"/>
        </w:rPr>
        <w:t>•</w:t>
      </w:r>
      <w:r>
        <w:rPr>
          <w:rFonts w:ascii="Times New Roman;serif" w:hAnsi="Times New Roman;serif"/>
          <w:b w:val="false"/>
          <w:color w:val="000000"/>
          <w:sz w:val="20"/>
        </w:rPr>
        <w:t>our ability to operate restaurants effectively and efficiently to meet consumer expectations;</w:t>
      </w:r>
    </w:p>
    <w:p>
      <w:pPr>
        <w:pStyle w:val="TextBody"/>
        <w:bidi w:val="0"/>
        <w:spacing w:before="0" w:after="0"/>
        <w:ind w:left="0" w:right="0" w:hanging="720"/>
        <w:jc w:val="left"/>
        <w:rPr/>
      </w:pPr>
      <w:r>
        <w:rPr/>
      </w:r>
    </w:p>
    <w:p>
      <w:pPr>
        <w:pStyle w:val="TextBody"/>
        <w:bidi w:val="0"/>
        <w:spacing w:lineRule="auto" w:line="288" w:before="0" w:after="0"/>
        <w:ind w:left="0" w:right="0" w:hanging="720"/>
        <w:jc w:val="left"/>
        <w:rPr/>
      </w:pPr>
      <w:r>
        <w:rPr>
          <w:color w:val="000000"/>
        </w:rPr>
        <w:t>•</w:t>
      </w:r>
      <w:r>
        <w:rPr>
          <w:rFonts w:ascii="Times New Roman;serif" w:hAnsi="Times New Roman;serif"/>
          <w:b w:val="false"/>
          <w:color w:val="000000"/>
          <w:sz w:val="20"/>
        </w:rPr>
        <w:t>pricing and perceived value;</w:t>
      </w:r>
    </w:p>
    <w:p>
      <w:pPr>
        <w:pStyle w:val="TextBody"/>
        <w:bidi w:val="0"/>
        <w:spacing w:before="0" w:after="0"/>
        <w:ind w:left="0" w:right="0" w:hanging="720"/>
        <w:jc w:val="left"/>
        <w:rPr/>
      </w:pPr>
      <w:r>
        <w:rPr/>
      </w:r>
    </w:p>
    <w:p>
      <w:pPr>
        <w:pStyle w:val="TextBody"/>
        <w:bidi w:val="0"/>
        <w:spacing w:lineRule="auto" w:line="288" w:before="0" w:after="0"/>
        <w:ind w:left="0" w:right="0" w:hanging="720"/>
        <w:jc w:val="left"/>
        <w:rPr/>
      </w:pPr>
      <w:r>
        <w:rPr>
          <w:color w:val="000000"/>
        </w:rPr>
        <w:t>•</w:t>
      </w:r>
      <w:r>
        <w:rPr>
          <w:rFonts w:ascii="Times New Roman;serif" w:hAnsi="Times New Roman;serif"/>
          <w:b w:val="false"/>
          <w:color w:val="000000"/>
          <w:sz w:val="20"/>
        </w:rPr>
        <w:t>the number of restaurant transactions, per-person spend and average check amount;</w:t>
      </w:r>
    </w:p>
    <w:p>
      <w:pPr>
        <w:pStyle w:val="TextBody"/>
        <w:bidi w:val="0"/>
        <w:spacing w:before="0" w:after="0"/>
        <w:ind w:left="0" w:right="0" w:hanging="720"/>
        <w:jc w:val="left"/>
        <w:rPr/>
      </w:pPr>
      <w:r>
        <w:rPr/>
      </w:r>
    </w:p>
    <w:p>
      <w:pPr>
        <w:pStyle w:val="TextBody"/>
        <w:bidi w:val="0"/>
        <w:spacing w:lineRule="auto" w:line="288" w:before="0" w:after="0"/>
        <w:ind w:left="0" w:right="0" w:hanging="720"/>
        <w:jc w:val="left"/>
        <w:rPr/>
      </w:pPr>
      <w:r>
        <w:rPr>
          <w:color w:val="000000"/>
        </w:rPr>
        <w:t>•</w:t>
      </w:r>
      <w:r>
        <w:rPr>
          <w:rFonts w:ascii="Times New Roman;serif" w:hAnsi="Times New Roman;serif"/>
          <w:b w:val="false"/>
          <w:color w:val="000000"/>
          <w:sz w:val="20"/>
        </w:rPr>
        <w:t>marketing and promotional efforts;</w:t>
      </w:r>
    </w:p>
    <w:p>
      <w:pPr>
        <w:pStyle w:val="TextBody"/>
        <w:bidi w:val="0"/>
        <w:spacing w:before="0" w:after="0"/>
        <w:jc w:val="left"/>
        <w:rPr/>
      </w:pPr>
      <w:r>
        <w:rPr/>
      </w:r>
    </w:p>
    <w:p>
      <w:pPr>
        <w:pStyle w:val="TextBody"/>
        <w:bidi w:val="0"/>
        <w:spacing w:lineRule="auto" w:line="288" w:before="0" w:after="0"/>
        <w:ind w:left="0" w:right="0" w:hanging="720"/>
        <w:jc w:val="left"/>
        <w:rPr/>
      </w:pPr>
      <w:r>
        <w:rPr>
          <w:color w:val="000000"/>
        </w:rPr>
        <w:t>•</w:t>
      </w:r>
      <w:r>
        <w:rPr>
          <w:rFonts w:ascii="Times New Roman;serif" w:hAnsi="Times New Roman;serif"/>
          <w:b w:val="false"/>
          <w:color w:val="000000"/>
          <w:sz w:val="20"/>
        </w:rPr>
        <w:t>weather patterns;</w:t>
      </w:r>
    </w:p>
    <w:p>
      <w:pPr>
        <w:pStyle w:val="TextBody"/>
        <w:bidi w:val="0"/>
        <w:spacing w:before="0" w:after="0"/>
        <w:jc w:val="left"/>
        <w:rPr/>
      </w:pPr>
      <w:r>
        <w:rPr/>
      </w:r>
    </w:p>
    <w:p>
      <w:pPr>
        <w:pStyle w:val="TextBody"/>
        <w:bidi w:val="0"/>
        <w:spacing w:lineRule="auto" w:line="288" w:before="0" w:after="0"/>
        <w:ind w:left="0" w:right="0" w:hanging="720"/>
        <w:jc w:val="left"/>
        <w:rPr/>
      </w:pPr>
      <w:r>
        <w:rPr>
          <w:color w:val="000000"/>
        </w:rPr>
        <w:t>•</w:t>
      </w:r>
      <w:r>
        <w:rPr>
          <w:rFonts w:ascii="Times New Roman;serif" w:hAnsi="Times New Roman;serif"/>
          <w:b w:val="false"/>
          <w:color w:val="000000"/>
          <w:sz w:val="20"/>
        </w:rPr>
        <w:t>food safety and foodborne illness concerns;</w:t>
      </w:r>
    </w:p>
    <w:p>
      <w:pPr>
        <w:pStyle w:val="TextBody"/>
        <w:bidi w:val="0"/>
        <w:spacing w:before="0" w:after="0"/>
        <w:ind w:left="0" w:right="0" w:hanging="360"/>
        <w:jc w:val="left"/>
        <w:rPr/>
      </w:pPr>
      <w:r>
        <w:rPr/>
      </w:r>
    </w:p>
    <w:p>
      <w:pPr>
        <w:pStyle w:val="TextBody"/>
        <w:bidi w:val="0"/>
        <w:spacing w:lineRule="auto" w:line="288" w:before="0" w:after="0"/>
        <w:ind w:left="0" w:right="0" w:hanging="720"/>
        <w:jc w:val="left"/>
        <w:rPr/>
      </w:pPr>
      <w:r>
        <w:rPr>
          <w:color w:val="000000"/>
        </w:rPr>
        <w:t>•</w:t>
      </w:r>
      <w:r>
        <w:rPr>
          <w:rFonts w:ascii="Times New Roman;serif" w:hAnsi="Times New Roman;serif"/>
          <w:b w:val="false"/>
          <w:color w:val="000000"/>
          <w:sz w:val="20"/>
        </w:rPr>
        <w:t>the impact of health pandemics;</w:t>
      </w:r>
    </w:p>
    <w:p>
      <w:pPr>
        <w:pStyle w:val="TextBody"/>
        <w:bidi w:val="0"/>
        <w:spacing w:before="0" w:after="0"/>
        <w:jc w:val="left"/>
        <w:rPr/>
      </w:pPr>
      <w:r>
        <w:rPr/>
      </w:r>
    </w:p>
    <w:p>
      <w:pPr>
        <w:pStyle w:val="TextBody"/>
        <w:bidi w:val="0"/>
        <w:spacing w:lineRule="auto" w:line="288" w:before="0" w:after="0"/>
        <w:ind w:left="0" w:right="0" w:hanging="720"/>
        <w:jc w:val="left"/>
        <w:rPr/>
      </w:pPr>
      <w:r>
        <w:rPr>
          <w:color w:val="000000"/>
        </w:rPr>
        <w:t>•</w:t>
      </w:r>
      <w:r>
        <w:rPr>
          <w:rFonts w:ascii="Times New Roman;serif" w:hAnsi="Times New Roman;serif"/>
          <w:b w:val="false"/>
          <w:color w:val="000000"/>
          <w:sz w:val="20"/>
        </w:rPr>
        <w:t>local and national competition;</w:t>
      </w:r>
    </w:p>
    <w:p>
      <w:pPr>
        <w:pStyle w:val="TextBody"/>
        <w:bidi w:val="0"/>
        <w:spacing w:before="0" w:after="0"/>
        <w:ind w:left="0" w:right="0" w:hanging="720"/>
        <w:jc w:val="left"/>
        <w:rPr/>
      </w:pPr>
      <w:r>
        <w:rPr/>
      </w:r>
    </w:p>
    <w:p>
      <w:pPr>
        <w:pStyle w:val="TextBody"/>
        <w:bidi w:val="0"/>
        <w:spacing w:lineRule="auto" w:line="288" w:before="0" w:after="0"/>
        <w:ind w:left="0" w:right="0" w:hanging="720"/>
        <w:jc w:val="left"/>
        <w:rPr/>
      </w:pPr>
      <w:r>
        <w:rPr>
          <w:color w:val="000000"/>
        </w:rPr>
        <w:t>•</w:t>
      </w:r>
      <w:r>
        <w:rPr>
          <w:rFonts w:ascii="Times New Roman;serif" w:hAnsi="Times New Roman;serif"/>
          <w:b w:val="false"/>
          <w:color w:val="000000"/>
          <w:sz w:val="20"/>
        </w:rPr>
        <w:t>trade area dynamics, including tariffs or trade restrictions; and</w:t>
      </w:r>
    </w:p>
    <w:p>
      <w:pPr>
        <w:pStyle w:val="TextBody"/>
        <w:bidi w:val="0"/>
        <w:spacing w:before="0" w:after="0"/>
        <w:ind w:left="0" w:right="0" w:hanging="720"/>
        <w:jc w:val="left"/>
        <w:rPr/>
      </w:pPr>
      <w:r>
        <w:rPr/>
      </w:r>
    </w:p>
    <w:p>
      <w:pPr>
        <w:pStyle w:val="TextBody"/>
        <w:bidi w:val="0"/>
        <w:spacing w:lineRule="auto" w:line="288" w:before="0" w:after="0"/>
        <w:ind w:left="0" w:right="0" w:hanging="720"/>
        <w:jc w:val="left"/>
        <w:rPr/>
      </w:pPr>
      <w:r>
        <w:rPr>
          <w:color w:val="000000"/>
        </w:rPr>
        <w:t>•</w:t>
      </w:r>
      <w:r>
        <w:rPr>
          <w:rFonts w:ascii="Times New Roman;serif" w:hAnsi="Times New Roman;serif"/>
          <w:b w:val="false"/>
          <w:color w:val="000000"/>
          <w:sz w:val="20"/>
        </w:rPr>
        <w:t>opening and closing restaurants in the vicinity of other restaurant locations.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Consistent with common industry practice, we present comparable restaurant sales on a calendar-adjusted basis that aligns current year sales weeks with comparable periods in the prior year, regardless of whether they belong to the same fiscal period or not. Since opening new company-owned and franchise restaurants is a part of our long-term growth strategy and we anticipate new restaurants will be a component of our long-term revenue growth, comparable restaurant sales is only one measure of how we evaluate our performance.</w:t>
      </w:r>
    </w:p>
    <w:p>
      <w:pPr>
        <w:pStyle w:val="TextBody"/>
        <w:bidi w:val="0"/>
        <w:spacing w:before="0" w:after="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9">
                <wp:simplePos x="0" y="0"/>
                <wp:positionH relativeFrom="character">
                  <wp:align>left</wp:align>
                </wp:positionH>
                <wp:positionV relativeFrom="line">
                  <wp:posOffset>635</wp:posOffset>
                </wp:positionV>
                <wp:extent cx="6480175" cy="146685"/>
                <wp:effectExtent l="0" t="0" r="0" b="0"/>
                <wp:wrapNone/>
                <wp:docPr id="18" name="Frame1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17</w:t>
                      </w:r>
                    </w:p>
                  </w:txbxContent>
                </v:textbox>
                <w10:wrap type="none"/>
              </v:rect>
            </w:pict>
          </mc:Fallback>
        </mc:AlternateContent>
      </w:r>
    </w:p>
    <w:p>
      <w:pPr>
        <w:pStyle w:val="TextBody"/>
        <w:bidi w:val="0"/>
        <w:spacing w:lineRule="auto" w:line="288" w:before="160" w:after="160"/>
        <w:jc w:val="left"/>
        <w:rPr/>
      </w:pPr>
      <w:hyperlink w:anchor="i0388035fcf6a4f6ca5f569f2895a7d6a_10">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jc w:val="both"/>
        <w:rPr>
          <w:rFonts w:ascii="Times New Roman;serif" w:hAnsi="Times New Roman;serif"/>
          <w:b/>
          <w:i/>
          <w:color w:val="000000"/>
          <w:sz w:val="20"/>
        </w:rPr>
      </w:pPr>
      <w:r>
        <w:rPr>
          <w:rFonts w:ascii="Times New Roman;serif" w:hAnsi="Times New Roman;serif"/>
          <w:b/>
          <w:i/>
          <w:color w:val="000000"/>
          <w:sz w:val="20"/>
        </w:rPr>
        <w:t>Average Unit Volumes</w:t>
      </w:r>
    </w:p>
    <w:p>
      <w:pPr>
        <w:pStyle w:val="TextBody"/>
        <w:bidi w:val="0"/>
        <w:spacing w:before="0" w:after="0"/>
        <w:jc w:val="both"/>
        <w:rPr/>
      </w:pPr>
      <w:r>
        <w:rPr/>
      </w:r>
    </w:p>
    <w:p>
      <w:pPr>
        <w:pStyle w:val="TextBody"/>
        <w:bidi w:val="0"/>
        <w:spacing w:lineRule="auto" w:line="288" w:before="0" w:after="0"/>
        <w:jc w:val="both"/>
        <w:rPr/>
      </w:pPr>
      <w:r>
        <w:rPr>
          <w:rFonts w:ascii="Times New Roman;serif" w:hAnsi="Times New Roman;serif"/>
          <w:b w:val="false"/>
          <w:color w:val="000000"/>
          <w:sz w:val="20"/>
        </w:rPr>
        <w:t xml:space="preserve">AUVs consist of the average annualized sales of all company-owned restaurants for a given time period. AUVs are calculated by dividing restaurant revenue by the number of operating days within each time period and multiplying by the number of operating days we have in a typical year. </w:t>
      </w:r>
      <w:r>
        <w:rPr>
          <w:rFonts w:ascii="Times New Roman;serif" w:hAnsi="Times New Roman;serif"/>
          <w:b w:val="false"/>
          <w:color w:val="000000"/>
          <w:sz w:val="20"/>
          <w:shd w:fill="FFFFFF" w:val="clear"/>
        </w:rPr>
        <w:t xml:space="preserve">Based on this calculation, temporarily closed restaurants are excluded from the definition of AUV, however, restaurants with temporarily reduced operating hours are included. </w:t>
      </w:r>
      <w:r>
        <w:rPr>
          <w:rFonts w:ascii="Times New Roman;serif" w:hAnsi="Times New Roman;serif"/>
          <w:b w:val="false"/>
          <w:color w:val="000000"/>
          <w:sz w:val="20"/>
        </w:rPr>
        <w:t xml:space="preserve">This measurement allows management to assess changes in </w:t>
      </w:r>
      <w:r>
        <w:rPr>
          <w:rFonts w:ascii="Times New Roman;serif" w:hAnsi="Times New Roman;serif"/>
          <w:b w:val="false"/>
          <w:color w:val="000000"/>
          <w:sz w:val="20"/>
          <w:shd w:fill="FFFFFF" w:val="clear"/>
        </w:rPr>
        <w:t>consumer traffic and per person spending</w:t>
      </w:r>
      <w:r>
        <w:rPr>
          <w:color w:val="000000"/>
        </w:rPr>
        <w:t xml:space="preserve"> </w:t>
      </w:r>
      <w:r>
        <w:rPr>
          <w:rFonts w:ascii="Times New Roman;serif" w:hAnsi="Times New Roman;serif"/>
          <w:b w:val="false"/>
          <w:color w:val="000000"/>
          <w:sz w:val="20"/>
        </w:rPr>
        <w:t xml:space="preserve">patterns at our restaurants. In addition to the factors that impact comparable restaurant sales, AUVs can be further impacted by effective real estate site selection and maturity and trends within new markets. </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i/>
          <w:color w:val="000000"/>
          <w:sz w:val="20"/>
        </w:rPr>
      </w:pPr>
      <w:r>
        <w:rPr>
          <w:rFonts w:ascii="Times New Roman;serif" w:hAnsi="Times New Roman;serif"/>
          <w:b/>
          <w:i/>
          <w:color w:val="000000"/>
          <w:sz w:val="20"/>
        </w:rPr>
        <w:t>Restaurant Contribution and Restaurant Contribution Margin</w:t>
      </w:r>
    </w:p>
    <w:p>
      <w:pPr>
        <w:pStyle w:val="TextBody"/>
        <w:bidi w:val="0"/>
        <w:spacing w:before="0" w:after="0"/>
        <w:jc w:val="left"/>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Restaurant contribution represents restaurant revenue less restaurant operating costs which are cost of sales, labor, occupancy and other restaurant operating costs. Restaurant contribution margin represents restaurant contribution as a percentage of restaurant revenue. We expect restaurant contribution to increase in proportion to the number of new restaurants we open, our comparable restaurant sales growth and cost reduction initiatives. </w:t>
      </w:r>
    </w:p>
    <w:p>
      <w:pPr>
        <w:pStyle w:val="TextBody"/>
        <w:bidi w:val="0"/>
        <w:spacing w:before="0" w:after="0"/>
        <w:jc w:val="left"/>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We believe that restaurant contribution and restaurant contribution margin are important tools for investors and other interested parties because they are widely-used metrics within the restaurant industry to evaluate restaurant-level productivity, efficiency and performance. We also use restaurant contribution and restaurant contribution margin as metrics to evaluate the profitability of incremental sales at our restaurants, restaurant performance across periods and restaurant financial performance compared with competitors. Restaurant contribution and restaurant contribution margin are supplemental measures of the operating performance of our restaurants and are not reflective of the underlying performance of our business because corporate-level expenses are excluded from these measures. </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i/>
          <w:color w:val="000000"/>
          <w:sz w:val="20"/>
        </w:rPr>
      </w:pPr>
      <w:r>
        <w:rPr>
          <w:rFonts w:ascii="Times New Roman;serif" w:hAnsi="Times New Roman;serif"/>
          <w:b/>
          <w:i/>
          <w:color w:val="000000"/>
          <w:sz w:val="20"/>
        </w:rPr>
        <w:t>EBITDA and Adjusted EBITDA</w:t>
      </w:r>
    </w:p>
    <w:p>
      <w:pPr>
        <w:pStyle w:val="TextBody"/>
        <w:bidi w:val="0"/>
        <w:spacing w:before="0" w:after="0"/>
        <w:jc w:val="both"/>
        <w:rPr/>
      </w:pPr>
      <w:r>
        <w:rPr/>
      </w:r>
    </w:p>
    <w:p>
      <w:pPr>
        <w:pStyle w:val="TextBody"/>
        <w:bidi w:val="0"/>
        <w:spacing w:lineRule="auto" w:line="288" w:before="0" w:after="0"/>
        <w:jc w:val="both"/>
        <w:rPr/>
      </w:pPr>
      <w:r>
        <w:rPr>
          <w:rFonts w:ascii="Times New Roman;serif" w:hAnsi="Times New Roman;serif"/>
          <w:b w:val="false"/>
          <w:color w:val="000000"/>
          <w:sz w:val="20"/>
        </w:rPr>
        <w:t xml:space="preserve">We define EBITDA as net income (loss) before net interest expense, provision (benefit) for income taxes and depreciation and amortization. We define </w:t>
      </w:r>
      <w:r>
        <w:rPr>
          <w:rFonts w:ascii="Times New Roman;serif" w:hAnsi="Times New Roman;serif"/>
          <w:b w:val="false"/>
          <w:color w:val="000000"/>
          <w:sz w:val="20"/>
          <w:shd w:fill="FFFFFF" w:val="clear"/>
        </w:rPr>
        <w:t xml:space="preserve">adjusted EBITDA as net income (loss) before net interest expense, provision (benefit) for income taxes, depreciation and amortization, restaurant impairments, loss on disposal of assets, net lease exit costs (benefits), (gain) loss on sale of restaurants, severance and executive transition costs and stock-based compensation. </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We believe that EBITDA and adjusted EBITDA provide clear pictures of our operating results by eliminating non-cash expenses and certain other expenses that may vary widely from period to period and we believe are not reflective of the underlying business performance. </w:t>
      </w:r>
    </w:p>
    <w:p>
      <w:pPr>
        <w:pStyle w:val="TextBody"/>
        <w:bidi w:val="0"/>
        <w:spacing w:before="0" w:after="0"/>
        <w:jc w:val="both"/>
        <w:rPr/>
      </w:pPr>
      <w:r>
        <w:rPr/>
      </w:r>
    </w:p>
    <w:p>
      <w:pPr>
        <w:pStyle w:val="TextBody"/>
        <w:bidi w:val="0"/>
        <w:spacing w:lineRule="auto" w:line="288" w:before="0" w:after="0"/>
        <w:jc w:val="both"/>
        <w:rPr/>
      </w:pPr>
      <w:r>
        <w:rPr>
          <w:rFonts w:ascii="Times New Roman;serif" w:hAnsi="Times New Roman;serif"/>
          <w:b w:val="false"/>
          <w:color w:val="000000"/>
          <w:sz w:val="20"/>
        </w:rPr>
        <w:t>The presentati</w:t>
      </w:r>
      <w:r>
        <w:rPr>
          <w:rFonts w:ascii="Times New Roman;serif" w:hAnsi="Times New Roman;serif"/>
          <w:b w:val="false"/>
          <w:color w:val="000000"/>
          <w:sz w:val="20"/>
          <w:shd w:fill="FFFFFF" w:val="clear"/>
        </w:rPr>
        <w:t xml:space="preserve">on of restaurant contribution, restaurant contribution margin, </w:t>
      </w:r>
      <w:r>
        <w:rPr>
          <w:rFonts w:ascii="Times New Roman;serif" w:hAnsi="Times New Roman;serif"/>
          <w:b w:val="false"/>
          <w:color w:val="000000"/>
          <w:sz w:val="20"/>
        </w:rPr>
        <w:t>EBITDA and adjusted EBITDA, which may not be comparable to similarly titled financial measures used by other companies, is not intended to be considered in isolation or as a substitute for, or to be superior to, the financial information prepared and presented in accordance with accounting principles generally accepted in the United States of America (“GAAP”). We use these non-GAAP financial measures for financial and operational decision making and as a means to evaluate period-to-period comparisons. We believe that they provide useful information to management and investors about operating results, enhance the overall understanding of past financial performance and future prospects and allow for greater transparency with respect to key metrics used by management in its financial and operational decision making.</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0">
                <wp:simplePos x="0" y="0"/>
                <wp:positionH relativeFrom="character">
                  <wp:align>left</wp:align>
                </wp:positionH>
                <wp:positionV relativeFrom="line">
                  <wp:posOffset>635</wp:posOffset>
                </wp:positionV>
                <wp:extent cx="6480175" cy="146685"/>
                <wp:effectExtent l="0" t="0" r="0" b="0"/>
                <wp:wrapNone/>
                <wp:docPr id="19" name="Frame1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18</w:t>
                      </w:r>
                    </w:p>
                  </w:txbxContent>
                </v:textbox>
                <w10:wrap type="none"/>
              </v:rect>
            </w:pict>
          </mc:Fallback>
        </mc:AlternateContent>
      </w:r>
    </w:p>
    <w:p>
      <w:pPr>
        <w:pStyle w:val="TextBody"/>
        <w:bidi w:val="0"/>
        <w:spacing w:lineRule="auto" w:line="288" w:before="160" w:after="160"/>
        <w:jc w:val="left"/>
        <w:rPr/>
      </w:pPr>
      <w:hyperlink w:anchor="i0388035fcf6a4f6ca5f569f2895a7d6a_10">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jc w:val="both"/>
        <w:rPr>
          <w:rFonts w:ascii="Times New Roman;serif" w:hAnsi="Times New Roman;serif"/>
          <w:b/>
          <w:color w:val="000000"/>
          <w:sz w:val="20"/>
        </w:rPr>
      </w:pPr>
      <w:r>
        <w:rPr>
          <w:rFonts w:ascii="Times New Roman;serif" w:hAnsi="Times New Roman;serif"/>
          <w:b/>
          <w:color w:val="000000"/>
          <w:sz w:val="20"/>
        </w:rPr>
        <w:t>Results of Operations</w:t>
      </w:r>
    </w:p>
    <w:p>
      <w:pPr>
        <w:pStyle w:val="TextBody"/>
        <w:bidi w:val="0"/>
        <w:spacing w:before="0" w:after="0"/>
        <w:jc w:val="both"/>
        <w:rPr/>
      </w:pPr>
      <w:r>
        <w:rPr/>
      </w:r>
    </w:p>
    <w:p>
      <w:pPr>
        <w:pStyle w:val="TextBody"/>
        <w:bidi w:val="0"/>
        <w:spacing w:lineRule="auto" w:line="288" w:before="0" w:after="180"/>
        <w:jc w:val="both"/>
        <w:rPr/>
      </w:pPr>
      <w:r>
        <w:rPr>
          <w:rFonts w:ascii="Times New Roman;serif" w:hAnsi="Times New Roman;serif"/>
          <w:b w:val="false"/>
          <w:color w:val="000000"/>
          <w:sz w:val="20"/>
        </w:rPr>
        <w:t>The following table presents a reconciliation of net loss</w:t>
      </w:r>
      <w:r>
        <w:rPr>
          <w:color w:val="000000"/>
          <w:shd w:fill="FFFFFF" w:val="clear"/>
        </w:rPr>
        <w:t xml:space="preserve"> </w:t>
      </w:r>
      <w:r>
        <w:rPr>
          <w:rFonts w:ascii="Times New Roman;serif" w:hAnsi="Times New Roman;serif"/>
          <w:b w:val="false"/>
          <w:color w:val="000000"/>
          <w:sz w:val="20"/>
          <w:shd w:fill="FFFFFF" w:val="clear"/>
        </w:rPr>
        <w:t>to EBI</w:t>
      </w:r>
      <w:r>
        <w:rPr>
          <w:rFonts w:ascii="Times New Roman;serif" w:hAnsi="Times New Roman;serif"/>
          <w:b w:val="false"/>
          <w:color w:val="000000"/>
          <w:sz w:val="20"/>
        </w:rPr>
        <w:t>TDA and adjusted EBITDA:</w:t>
      </w:r>
    </w:p>
    <w:tbl>
      <w:tblPr>
        <w:tblW w:w="9434" w:type="dxa"/>
        <w:jc w:val="left"/>
        <w:tblInd w:w="0" w:type="dxa"/>
        <w:tblLayout w:type="fixed"/>
        <w:tblCellMar>
          <w:top w:w="28" w:type="dxa"/>
          <w:left w:w="28" w:type="dxa"/>
          <w:bottom w:w="28" w:type="dxa"/>
          <w:right w:w="28" w:type="dxa"/>
        </w:tblCellMar>
      </w:tblPr>
      <w:tblGrid>
        <w:gridCol w:w="1330"/>
        <w:gridCol w:w="1162"/>
        <w:gridCol w:w="1183"/>
        <w:gridCol w:w="109"/>
        <w:gridCol w:w="109"/>
        <w:gridCol w:w="109"/>
        <w:gridCol w:w="238"/>
        <w:gridCol w:w="779"/>
        <w:gridCol w:w="123"/>
        <w:gridCol w:w="109"/>
        <w:gridCol w:w="109"/>
        <w:gridCol w:w="109"/>
        <w:gridCol w:w="211"/>
        <w:gridCol w:w="691"/>
        <w:gridCol w:w="109"/>
        <w:gridCol w:w="109"/>
        <w:gridCol w:w="109"/>
        <w:gridCol w:w="109"/>
        <w:gridCol w:w="215"/>
        <w:gridCol w:w="813"/>
        <w:gridCol w:w="111"/>
        <w:gridCol w:w="109"/>
        <w:gridCol w:w="109"/>
        <w:gridCol w:w="109"/>
        <w:gridCol w:w="211"/>
        <w:gridCol w:w="796"/>
        <w:gridCol w:w="154"/>
      </w:tblGrid>
      <w:tr>
        <w:trPr/>
        <w:tc>
          <w:tcPr>
            <w:tcW w:w="1330" w:type="dxa"/>
            <w:tcBorders/>
            <w:vAlign w:val="center"/>
          </w:tcPr>
          <w:p>
            <w:pPr>
              <w:pStyle w:val="TableContents"/>
              <w:bidi w:val="0"/>
              <w:spacing w:before="0" w:after="283"/>
              <w:jc w:val="left"/>
              <w:rPr>
                <w:sz w:val="4"/>
                <w:szCs w:val="4"/>
              </w:rPr>
            </w:pPr>
            <w:r>
              <w:rPr>
                <w:sz w:val="4"/>
                <w:szCs w:val="4"/>
              </w:rPr>
            </w:r>
          </w:p>
        </w:tc>
        <w:tc>
          <w:tcPr>
            <w:tcW w:w="1162" w:type="dxa"/>
            <w:tcBorders/>
            <w:vAlign w:val="center"/>
          </w:tcPr>
          <w:p>
            <w:pPr>
              <w:pStyle w:val="TableContents"/>
              <w:bidi w:val="0"/>
              <w:spacing w:before="0" w:after="283"/>
              <w:jc w:val="left"/>
              <w:rPr>
                <w:sz w:val="4"/>
                <w:szCs w:val="4"/>
              </w:rPr>
            </w:pPr>
            <w:r>
              <w:rPr>
                <w:sz w:val="4"/>
                <w:szCs w:val="4"/>
              </w:rPr>
            </w:r>
          </w:p>
        </w:tc>
        <w:tc>
          <w:tcPr>
            <w:tcW w:w="118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8" w:type="dxa"/>
            <w:tcBorders/>
            <w:vAlign w:val="center"/>
          </w:tcPr>
          <w:p>
            <w:pPr>
              <w:pStyle w:val="TableContents"/>
              <w:bidi w:val="0"/>
              <w:spacing w:before="0" w:after="283"/>
              <w:jc w:val="left"/>
              <w:rPr>
                <w:sz w:val="4"/>
                <w:szCs w:val="4"/>
              </w:rPr>
            </w:pPr>
            <w:r>
              <w:rPr>
                <w:sz w:val="4"/>
                <w:szCs w:val="4"/>
              </w:rPr>
            </w:r>
          </w:p>
        </w:tc>
        <w:tc>
          <w:tcPr>
            <w:tcW w:w="779" w:type="dxa"/>
            <w:tcBorders/>
            <w:vAlign w:val="center"/>
          </w:tcPr>
          <w:p>
            <w:pPr>
              <w:pStyle w:val="TableContents"/>
              <w:bidi w:val="0"/>
              <w:spacing w:before="0" w:after="283"/>
              <w:jc w:val="left"/>
              <w:rPr>
                <w:sz w:val="4"/>
                <w:szCs w:val="4"/>
              </w:rPr>
            </w:pPr>
            <w:r>
              <w:rPr>
                <w:sz w:val="4"/>
                <w:szCs w:val="4"/>
              </w:rPr>
            </w:r>
          </w:p>
        </w:tc>
        <w:tc>
          <w:tcPr>
            <w:tcW w:w="12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sz w:val="4"/>
                <w:szCs w:val="4"/>
              </w:rPr>
            </w:pPr>
            <w:r>
              <w:rPr>
                <w:sz w:val="4"/>
                <w:szCs w:val="4"/>
              </w:rPr>
            </w:r>
          </w:p>
        </w:tc>
        <w:tc>
          <w:tcPr>
            <w:tcW w:w="813"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675"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78" w:type="dxa"/>
            <w:gridSpan w:val="9"/>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6"/>
              </w:rPr>
            </w:pPr>
            <w:r>
              <w:rPr>
                <w:rFonts w:ascii="Times New Roman;serif" w:hAnsi="Times New Roman;serif"/>
                <w:b/>
                <w:color w:val="000000"/>
                <w:sz w:val="16"/>
              </w:rPr>
              <w:t>Fiscal Quarter Ended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27"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Three Fiscal Quarters Ended</w:t>
            </w:r>
          </w:p>
        </w:tc>
      </w:tr>
      <w:tr>
        <w:trPr/>
        <w:tc>
          <w:tcPr>
            <w:tcW w:w="3675"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September 30,</w:t>
              <w:b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October 1,</w:t>
              <w:b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9"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September 30,</w:t>
              <w:b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October 1,</w:t>
              <w:br/>
              <w:t>2024</w:t>
            </w:r>
          </w:p>
        </w:tc>
      </w:tr>
      <w:tr>
        <w:trPr/>
        <w:tc>
          <w:tcPr>
            <w:tcW w:w="3675"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32" w:type="dxa"/>
            <w:gridSpan w:val="21"/>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(in thousands, unaudited)</w:t>
            </w:r>
          </w:p>
        </w:tc>
      </w:tr>
      <w:tr>
        <w:trPr/>
        <w:tc>
          <w:tcPr>
            <w:tcW w:w="36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loss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8"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7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(9,151)</w:t>
            </w:r>
          </w:p>
        </w:tc>
        <w:tc>
          <w:tcPr>
            <w:tcW w:w="1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9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(6,755)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5"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1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(35,760)</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(26,520)</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Depreciation and amortization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6,604 </w:t>
            </w:r>
          </w:p>
        </w:tc>
        <w:tc>
          <w:tcPr>
            <w:tcW w:w="1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7,248 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20,833 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21,985 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expense, net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2,827 </w:t>
            </w:r>
          </w:p>
        </w:tc>
        <w:tc>
          <w:tcPr>
            <w:tcW w:w="1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2,082 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8,227 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6,058 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Provision for (benefit from) income taxes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5 </w:t>
            </w:r>
          </w:p>
        </w:tc>
        <w:tc>
          <w:tcPr>
            <w:tcW w:w="1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49 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EBITDA</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7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285 </w:t>
            </w:r>
          </w:p>
        </w:tc>
        <w:tc>
          <w:tcPr>
            <w:tcW w:w="12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9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2,448 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1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(6,651)</w:t>
            </w:r>
          </w:p>
        </w:tc>
        <w:tc>
          <w:tcPr>
            <w:tcW w:w="11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1,571 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7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Restaurant impairments</w:t>
            </w:r>
            <w:r>
              <w:rPr>
                <w:rFonts w:ascii="Times New Roman;serif" w:hAnsi="Times New Roman;serif"/>
                <w:b w:val="false"/>
                <w:color w:val="000000"/>
                <w:sz w:val="13"/>
              </w:rPr>
              <w:t>(1)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5,326 </w:t>
            </w:r>
          </w:p>
        </w:tc>
        <w:tc>
          <w:tcPr>
            <w:tcW w:w="1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17,813 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11,263 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Loss on disposal of assets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698 </w:t>
            </w:r>
          </w:p>
        </w:tc>
        <w:tc>
          <w:tcPr>
            <w:tcW w:w="1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771 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2,461 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2,048 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Lease exit (benefits) costs, net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(1,278)</w:t>
            </w:r>
          </w:p>
        </w:tc>
        <w:tc>
          <w:tcPr>
            <w:tcW w:w="1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(2,156)</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378 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7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Gain on sale from refranchising transactions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(490)</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Severance and executive transition costs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334 </w:t>
            </w:r>
          </w:p>
        </w:tc>
        <w:tc>
          <w:tcPr>
            <w:tcW w:w="1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800 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1,476 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Stock-based compensation expense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1,133 </w:t>
            </w:r>
          </w:p>
        </w:tc>
        <w:tc>
          <w:tcPr>
            <w:tcW w:w="1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811 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2,651 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3,345 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Adjusted EBITDA</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7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6,498 </w:t>
            </w:r>
          </w:p>
        </w:tc>
        <w:tc>
          <w:tcPr>
            <w:tcW w:w="12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9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4,896 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1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14,918 </w:t>
            </w:r>
          </w:p>
        </w:tc>
        <w:tc>
          <w:tcPr>
            <w:tcW w:w="1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19,591 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left"/>
        <w:rPr>
          <w:rFonts w:ascii="Times New Roman;serif" w:hAnsi="Times New Roman;serif"/>
          <w:b w:val="false"/>
          <w:color w:val="000000"/>
          <w:sz w:val="16"/>
          <w:shd w:fill="FFFFFF" w:val="clear"/>
        </w:rPr>
      </w:pPr>
      <w:r>
        <w:rPr>
          <w:rFonts w:ascii="Times New Roman;serif" w:hAnsi="Times New Roman;serif"/>
          <w:b w:val="false"/>
          <w:color w:val="000000"/>
          <w:sz w:val="16"/>
          <w:shd w:fill="FFFFFF" w:val="clear"/>
        </w:rPr>
        <w:t>_____________________</w:t>
      </w:r>
    </w:p>
    <w:p>
      <w:pPr>
        <w:pStyle w:val="TextBody"/>
        <w:bidi w:val="0"/>
        <w:spacing w:lineRule="auto" w:line="288" w:before="0" w:after="0"/>
        <w:ind w:left="0" w:right="0" w:hanging="720"/>
        <w:jc w:val="both"/>
        <w:rPr/>
      </w:pPr>
      <w:r>
        <w:rPr>
          <w:rFonts w:ascii="Times New Roman;serif" w:hAnsi="Times New Roman;serif"/>
          <w:b w:val="false"/>
          <w:color w:val="000000"/>
          <w:sz w:val="16"/>
          <w:shd w:fill="FFFFFF" w:val="clear"/>
        </w:rPr>
        <w:t>(1)Restaurant impairments in all periods presented above include amounts related to restaurants previously impaired. See Note 7, Restaurant Impairme</w:t>
      </w:r>
      <w:r>
        <w:rPr>
          <w:rFonts w:ascii="Times New Roman;serif" w:hAnsi="Times New Roman;serif"/>
          <w:b w:val="false"/>
          <w:color w:val="000000"/>
          <w:sz w:val="16"/>
        </w:rPr>
        <w:t>nts, Closure Costs and Asset Disposals.</w:t>
      </w:r>
    </w:p>
    <w:p>
      <w:pPr>
        <w:pStyle w:val="TextBody"/>
        <w:bidi w:val="0"/>
        <w:spacing w:before="0" w:after="0"/>
        <w:jc w:val="left"/>
        <w:rPr/>
      </w:pPr>
      <w:r>
        <w:rPr/>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The following table presents a reconciliation of loss from operations to restaurant contribution:</w:t>
      </w:r>
    </w:p>
    <w:tbl>
      <w:tblPr>
        <w:tblW w:w="10205" w:type="dxa"/>
        <w:jc w:val="center"/>
        <w:tblInd w:w="0" w:type="dxa"/>
        <w:tblLayout w:type="fixed"/>
        <w:tblCellMar>
          <w:top w:w="28" w:type="dxa"/>
          <w:left w:w="28" w:type="dxa"/>
          <w:bottom w:w="28" w:type="dxa"/>
          <w:right w:w="28" w:type="dxa"/>
        </w:tblCellMar>
      </w:tblPr>
      <w:tblGrid>
        <w:gridCol w:w="1467"/>
        <w:gridCol w:w="1223"/>
        <w:gridCol w:w="1227"/>
        <w:gridCol w:w="109"/>
        <w:gridCol w:w="109"/>
        <w:gridCol w:w="109"/>
        <w:gridCol w:w="211"/>
        <w:gridCol w:w="721"/>
        <w:gridCol w:w="271"/>
        <w:gridCol w:w="109"/>
        <w:gridCol w:w="109"/>
        <w:gridCol w:w="109"/>
        <w:gridCol w:w="211"/>
        <w:gridCol w:w="721"/>
        <w:gridCol w:w="271"/>
        <w:gridCol w:w="109"/>
        <w:gridCol w:w="109"/>
        <w:gridCol w:w="109"/>
        <w:gridCol w:w="211"/>
        <w:gridCol w:w="781"/>
        <w:gridCol w:w="271"/>
        <w:gridCol w:w="109"/>
        <w:gridCol w:w="109"/>
        <w:gridCol w:w="109"/>
        <w:gridCol w:w="211"/>
        <w:gridCol w:w="781"/>
        <w:gridCol w:w="319"/>
      </w:tblGrid>
      <w:tr>
        <w:trPr/>
        <w:tc>
          <w:tcPr>
            <w:tcW w:w="1467" w:type="dxa"/>
            <w:tcBorders/>
            <w:vAlign w:val="center"/>
          </w:tcPr>
          <w:p>
            <w:pPr>
              <w:pStyle w:val="TableContents"/>
              <w:bidi w:val="0"/>
              <w:spacing w:before="0" w:after="283"/>
              <w:jc w:val="left"/>
              <w:rPr>
                <w:sz w:val="4"/>
                <w:szCs w:val="4"/>
              </w:rPr>
            </w:pPr>
            <w:r>
              <w:rPr>
                <w:sz w:val="4"/>
                <w:szCs w:val="4"/>
              </w:rPr>
            </w:r>
          </w:p>
        </w:tc>
        <w:tc>
          <w:tcPr>
            <w:tcW w:w="1223" w:type="dxa"/>
            <w:tcBorders/>
            <w:vAlign w:val="center"/>
          </w:tcPr>
          <w:p>
            <w:pPr>
              <w:pStyle w:val="TableContents"/>
              <w:bidi w:val="0"/>
              <w:spacing w:before="0" w:after="283"/>
              <w:jc w:val="left"/>
              <w:rPr>
                <w:sz w:val="4"/>
                <w:szCs w:val="4"/>
              </w:rPr>
            </w:pPr>
            <w:r>
              <w:rPr>
                <w:sz w:val="4"/>
                <w:szCs w:val="4"/>
              </w:rPr>
            </w:r>
          </w:p>
        </w:tc>
        <w:tc>
          <w:tcPr>
            <w:tcW w:w="122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319" w:type="dxa"/>
            <w:tcBorders/>
            <w:vAlign w:val="center"/>
          </w:tcPr>
          <w:p>
            <w:pPr>
              <w:pStyle w:val="TableContents"/>
              <w:bidi w:val="0"/>
              <w:spacing w:before="0" w:after="283"/>
              <w:jc w:val="left"/>
              <w:rPr>
                <w:sz w:val="4"/>
                <w:szCs w:val="4"/>
              </w:rPr>
            </w:pPr>
            <w:r>
              <w:rPr>
                <w:sz w:val="4"/>
                <w:szCs w:val="4"/>
              </w:rPr>
            </w:r>
          </w:p>
        </w:tc>
      </w:tr>
      <w:tr>
        <w:trPr/>
        <w:tc>
          <w:tcPr>
            <w:tcW w:w="391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33"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Fiscal Quarter Ended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01"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Three Fiscal Quarters Ended</w:t>
            </w:r>
          </w:p>
        </w:tc>
      </w:tr>
      <w:tr>
        <w:trPr/>
        <w:tc>
          <w:tcPr>
            <w:tcW w:w="391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September 30,</w:t>
              <w:b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October 1,</w:t>
              <w:b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September 30,</w:t>
              <w:b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October 1,</w:t>
              <w:br/>
              <w:t>2024</w:t>
            </w:r>
          </w:p>
        </w:tc>
      </w:tr>
      <w:tr>
        <w:trPr/>
        <w:tc>
          <w:tcPr>
            <w:tcW w:w="391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Loss from operations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(6,319)</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(4,800)</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(27,484)</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(20,414)</w:t>
            </w:r>
          </w:p>
        </w:tc>
        <w:tc>
          <w:tcPr>
            <w:tcW w:w="31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1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Less: Franchising royalties and fees, and other</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2,507 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2,588 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7,627 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7,600 </w:t>
            </w:r>
          </w:p>
        </w:tc>
        <w:tc>
          <w:tcPr>
            <w:tcW w:w="3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1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Plus: General and administrative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12,272 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12,892 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37,486 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39,503 </w:t>
            </w:r>
          </w:p>
        </w:tc>
        <w:tc>
          <w:tcPr>
            <w:tcW w:w="3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1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Depreciation and amortization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6,604 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7,248 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20,833 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21,985 </w:t>
            </w:r>
          </w:p>
        </w:tc>
        <w:tc>
          <w:tcPr>
            <w:tcW w:w="3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1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Pre-opening</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454 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226 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1,422 </w:t>
            </w:r>
          </w:p>
        </w:tc>
        <w:tc>
          <w:tcPr>
            <w:tcW w:w="3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1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Restaurant impairments, closure costs and asset disposals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5,681 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2,202 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20,625 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15,488 </w:t>
            </w:r>
          </w:p>
        </w:tc>
        <w:tc>
          <w:tcPr>
            <w:tcW w:w="3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1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Restaurant contribution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15,737 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15,408 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44,059 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50,384 </w:t>
            </w:r>
          </w:p>
        </w:tc>
        <w:tc>
          <w:tcPr>
            <w:tcW w:w="31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1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3"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3"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3"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1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Restaurant contribution margin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13.2 </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12.8 </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12.1 </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13.8 </w:t>
            </w:r>
          </w:p>
        </w:tc>
        <w:tc>
          <w:tcPr>
            <w:tcW w:w="31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bl>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1">
                <wp:simplePos x="0" y="0"/>
                <wp:positionH relativeFrom="character">
                  <wp:align>left</wp:align>
                </wp:positionH>
                <wp:positionV relativeFrom="line">
                  <wp:posOffset>635</wp:posOffset>
                </wp:positionV>
                <wp:extent cx="6480175" cy="146685"/>
                <wp:effectExtent l="0" t="0" r="0" b="0"/>
                <wp:wrapNone/>
                <wp:docPr id="20" name="Frame2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19</w:t>
                      </w:r>
                    </w:p>
                  </w:txbxContent>
                </v:textbox>
                <w10:wrap type="none"/>
              </v:rect>
            </w:pict>
          </mc:Fallback>
        </mc:AlternateContent>
      </w:r>
    </w:p>
    <w:p>
      <w:pPr>
        <w:pStyle w:val="TextBody"/>
        <w:bidi w:val="0"/>
        <w:spacing w:lineRule="auto" w:line="288" w:before="160" w:after="160"/>
        <w:jc w:val="left"/>
        <w:rPr/>
      </w:pPr>
      <w:hyperlink w:anchor="i0388035fcf6a4f6ca5f569f2895a7d6a_10">
        <w:r>
          <w:rPr>
            <w:rStyle w:val="InternetLink"/>
            <w:rFonts w:ascii="Times New Roman;serif" w:hAnsi="Times New Roman;serif"/>
            <w:b w:val="false"/>
            <w:color w:val="0000FF"/>
            <w:sz w:val="20"/>
            <w:u w:val="single"/>
          </w:rPr>
          <w:t>Table of Contents</w:t>
        </w:r>
      </w:hyperlink>
    </w:p>
    <w:p>
      <w:pPr>
        <w:pStyle w:val="TextBody"/>
        <w:bidi w:val="0"/>
        <w:spacing w:lineRule="auto" w:line="288" w:before="120" w:after="283"/>
        <w:jc w:val="both"/>
        <w:rPr>
          <w:rFonts w:ascii="Times New Roman;serif" w:hAnsi="Times New Roman;serif"/>
          <w:b/>
          <w:i/>
          <w:color w:val="000000"/>
          <w:sz w:val="20"/>
        </w:rPr>
      </w:pPr>
      <w:r>
        <w:rPr>
          <w:rFonts w:ascii="Times New Roman;serif" w:hAnsi="Times New Roman;serif"/>
          <w:b/>
          <w:i/>
          <w:color w:val="000000"/>
          <w:sz w:val="20"/>
        </w:rPr>
        <w:t>Restaurant Openings, Closures and Relocations</w:t>
      </w:r>
    </w:p>
    <w:p>
      <w:pPr>
        <w:pStyle w:val="TextBody"/>
        <w:bidi w:val="0"/>
        <w:spacing w:before="0" w:after="0"/>
        <w:jc w:val="both"/>
        <w:rPr/>
      </w:pPr>
      <w:r>
        <w:rPr/>
      </w:r>
    </w:p>
    <w:p>
      <w:pPr>
        <w:pStyle w:val="TextBody"/>
        <w:bidi w:val="0"/>
        <w:spacing w:lineRule="auto" w:line="288" w:before="0" w:after="120"/>
        <w:jc w:val="both"/>
        <w:rPr>
          <w:rFonts w:ascii="Times New Roman;serif" w:hAnsi="Times New Roman;serif"/>
          <w:b w:val="false"/>
          <w:color w:val="000000"/>
          <w:sz w:val="20"/>
        </w:rPr>
      </w:pPr>
      <w:r>
        <w:rPr>
          <w:rFonts w:ascii="Times New Roman;serif" w:hAnsi="Times New Roman;serif"/>
          <w:b w:val="false"/>
          <w:color w:val="000000"/>
          <w:sz w:val="20"/>
        </w:rPr>
        <w:t xml:space="preserve">The following table shows restaurants opened or closed during the periods indicated: </w:t>
      </w:r>
    </w:p>
    <w:tbl>
      <w:tblPr>
        <w:tblW w:w="9296" w:type="dxa"/>
        <w:jc w:val="left"/>
        <w:tblInd w:w="0" w:type="dxa"/>
        <w:tblLayout w:type="fixed"/>
        <w:tblCellMar>
          <w:top w:w="28" w:type="dxa"/>
          <w:left w:w="28" w:type="dxa"/>
          <w:bottom w:w="28" w:type="dxa"/>
          <w:right w:w="28" w:type="dxa"/>
        </w:tblCellMar>
      </w:tblPr>
      <w:tblGrid>
        <w:gridCol w:w="1189"/>
        <w:gridCol w:w="1047"/>
        <w:gridCol w:w="1049"/>
        <w:gridCol w:w="109"/>
        <w:gridCol w:w="109"/>
        <w:gridCol w:w="109"/>
        <w:gridCol w:w="379"/>
        <w:gridCol w:w="379"/>
        <w:gridCol w:w="381"/>
        <w:gridCol w:w="185"/>
        <w:gridCol w:w="185"/>
        <w:gridCol w:w="185"/>
        <w:gridCol w:w="294"/>
        <w:gridCol w:w="294"/>
        <w:gridCol w:w="296"/>
        <w:gridCol w:w="109"/>
        <w:gridCol w:w="109"/>
        <w:gridCol w:w="109"/>
        <w:gridCol w:w="379"/>
        <w:gridCol w:w="379"/>
        <w:gridCol w:w="381"/>
        <w:gridCol w:w="237"/>
        <w:gridCol w:w="237"/>
        <w:gridCol w:w="237"/>
        <w:gridCol w:w="272"/>
        <w:gridCol w:w="272"/>
        <w:gridCol w:w="385"/>
      </w:tblGrid>
      <w:tr>
        <w:trPr/>
        <w:tc>
          <w:tcPr>
            <w:tcW w:w="1189" w:type="dxa"/>
            <w:tcBorders/>
            <w:vAlign w:val="center"/>
          </w:tcPr>
          <w:p>
            <w:pPr>
              <w:pStyle w:val="TableContents"/>
              <w:bidi w:val="0"/>
              <w:spacing w:before="0" w:after="283"/>
              <w:jc w:val="left"/>
              <w:rPr>
                <w:sz w:val="4"/>
                <w:szCs w:val="4"/>
              </w:rPr>
            </w:pPr>
            <w:r>
              <w:rPr>
                <w:sz w:val="4"/>
                <w:szCs w:val="4"/>
              </w:rPr>
            </w:r>
          </w:p>
        </w:tc>
        <w:tc>
          <w:tcPr>
            <w:tcW w:w="1047" w:type="dxa"/>
            <w:tcBorders/>
            <w:vAlign w:val="center"/>
          </w:tcPr>
          <w:p>
            <w:pPr>
              <w:pStyle w:val="TableContents"/>
              <w:bidi w:val="0"/>
              <w:spacing w:before="0" w:after="283"/>
              <w:jc w:val="left"/>
              <w:rPr>
                <w:sz w:val="4"/>
                <w:szCs w:val="4"/>
              </w:rPr>
            </w:pPr>
            <w:r>
              <w:rPr>
                <w:sz w:val="4"/>
                <w:szCs w:val="4"/>
              </w:rPr>
            </w:r>
          </w:p>
        </w:tc>
        <w:tc>
          <w:tcPr>
            <w:tcW w:w="104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79" w:type="dxa"/>
            <w:tcBorders/>
            <w:vAlign w:val="center"/>
          </w:tcPr>
          <w:p>
            <w:pPr>
              <w:pStyle w:val="TableContents"/>
              <w:bidi w:val="0"/>
              <w:spacing w:before="0" w:after="283"/>
              <w:jc w:val="left"/>
              <w:rPr>
                <w:sz w:val="4"/>
                <w:szCs w:val="4"/>
              </w:rPr>
            </w:pPr>
            <w:r>
              <w:rPr>
                <w:sz w:val="4"/>
                <w:szCs w:val="4"/>
              </w:rPr>
            </w:r>
          </w:p>
        </w:tc>
        <w:tc>
          <w:tcPr>
            <w:tcW w:w="379" w:type="dxa"/>
            <w:tcBorders/>
            <w:vAlign w:val="center"/>
          </w:tcPr>
          <w:p>
            <w:pPr>
              <w:pStyle w:val="TableContents"/>
              <w:bidi w:val="0"/>
              <w:spacing w:before="0" w:after="283"/>
              <w:jc w:val="left"/>
              <w:rPr>
                <w:sz w:val="4"/>
                <w:szCs w:val="4"/>
              </w:rPr>
            </w:pPr>
            <w:r>
              <w:rPr>
                <w:sz w:val="4"/>
                <w:szCs w:val="4"/>
              </w:rPr>
            </w:r>
          </w:p>
        </w:tc>
        <w:tc>
          <w:tcPr>
            <w:tcW w:w="381" w:type="dxa"/>
            <w:tcBorders/>
            <w:vAlign w:val="center"/>
          </w:tcPr>
          <w:p>
            <w:pPr>
              <w:pStyle w:val="TableContents"/>
              <w:bidi w:val="0"/>
              <w:spacing w:before="0" w:after="283"/>
              <w:jc w:val="left"/>
              <w:rPr>
                <w:sz w:val="4"/>
                <w:szCs w:val="4"/>
              </w:rPr>
            </w:pPr>
            <w:r>
              <w:rPr>
                <w:sz w:val="4"/>
                <w:szCs w:val="4"/>
              </w:rPr>
            </w:r>
          </w:p>
        </w:tc>
        <w:tc>
          <w:tcPr>
            <w:tcW w:w="185" w:type="dxa"/>
            <w:tcBorders/>
            <w:vAlign w:val="center"/>
          </w:tcPr>
          <w:p>
            <w:pPr>
              <w:pStyle w:val="TableContents"/>
              <w:bidi w:val="0"/>
              <w:spacing w:before="0" w:after="283"/>
              <w:jc w:val="left"/>
              <w:rPr>
                <w:sz w:val="4"/>
                <w:szCs w:val="4"/>
              </w:rPr>
            </w:pPr>
            <w:r>
              <w:rPr>
                <w:sz w:val="4"/>
                <w:szCs w:val="4"/>
              </w:rPr>
            </w:r>
          </w:p>
        </w:tc>
        <w:tc>
          <w:tcPr>
            <w:tcW w:w="185" w:type="dxa"/>
            <w:tcBorders/>
            <w:vAlign w:val="center"/>
          </w:tcPr>
          <w:p>
            <w:pPr>
              <w:pStyle w:val="TableContents"/>
              <w:bidi w:val="0"/>
              <w:spacing w:before="0" w:after="283"/>
              <w:jc w:val="left"/>
              <w:rPr>
                <w:sz w:val="4"/>
                <w:szCs w:val="4"/>
              </w:rPr>
            </w:pPr>
            <w:r>
              <w:rPr>
                <w:sz w:val="4"/>
                <w:szCs w:val="4"/>
              </w:rPr>
            </w:r>
          </w:p>
        </w:tc>
        <w:tc>
          <w:tcPr>
            <w:tcW w:w="185" w:type="dxa"/>
            <w:tcBorders/>
            <w:vAlign w:val="center"/>
          </w:tcPr>
          <w:p>
            <w:pPr>
              <w:pStyle w:val="TableContents"/>
              <w:bidi w:val="0"/>
              <w:spacing w:before="0" w:after="283"/>
              <w:jc w:val="left"/>
              <w:rPr>
                <w:sz w:val="4"/>
                <w:szCs w:val="4"/>
              </w:rPr>
            </w:pPr>
            <w:r>
              <w:rPr>
                <w:sz w:val="4"/>
                <w:szCs w:val="4"/>
              </w:rPr>
            </w:r>
          </w:p>
        </w:tc>
        <w:tc>
          <w:tcPr>
            <w:tcW w:w="294" w:type="dxa"/>
            <w:tcBorders/>
            <w:vAlign w:val="center"/>
          </w:tcPr>
          <w:p>
            <w:pPr>
              <w:pStyle w:val="TableContents"/>
              <w:bidi w:val="0"/>
              <w:spacing w:before="0" w:after="283"/>
              <w:jc w:val="left"/>
              <w:rPr>
                <w:sz w:val="4"/>
                <w:szCs w:val="4"/>
              </w:rPr>
            </w:pPr>
            <w:r>
              <w:rPr>
                <w:sz w:val="4"/>
                <w:szCs w:val="4"/>
              </w:rPr>
            </w:r>
          </w:p>
        </w:tc>
        <w:tc>
          <w:tcPr>
            <w:tcW w:w="294" w:type="dxa"/>
            <w:tcBorders/>
            <w:vAlign w:val="center"/>
          </w:tcPr>
          <w:p>
            <w:pPr>
              <w:pStyle w:val="TableContents"/>
              <w:bidi w:val="0"/>
              <w:spacing w:before="0" w:after="283"/>
              <w:jc w:val="left"/>
              <w:rPr>
                <w:sz w:val="4"/>
                <w:szCs w:val="4"/>
              </w:rPr>
            </w:pPr>
            <w:r>
              <w:rPr>
                <w:sz w:val="4"/>
                <w:szCs w:val="4"/>
              </w:rPr>
            </w:r>
          </w:p>
        </w:tc>
        <w:tc>
          <w:tcPr>
            <w:tcW w:w="2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79" w:type="dxa"/>
            <w:tcBorders/>
            <w:vAlign w:val="center"/>
          </w:tcPr>
          <w:p>
            <w:pPr>
              <w:pStyle w:val="TableContents"/>
              <w:bidi w:val="0"/>
              <w:spacing w:before="0" w:after="283"/>
              <w:jc w:val="left"/>
              <w:rPr>
                <w:sz w:val="4"/>
                <w:szCs w:val="4"/>
              </w:rPr>
            </w:pPr>
            <w:r>
              <w:rPr>
                <w:sz w:val="4"/>
                <w:szCs w:val="4"/>
              </w:rPr>
            </w:r>
          </w:p>
        </w:tc>
        <w:tc>
          <w:tcPr>
            <w:tcW w:w="379" w:type="dxa"/>
            <w:tcBorders/>
            <w:vAlign w:val="center"/>
          </w:tcPr>
          <w:p>
            <w:pPr>
              <w:pStyle w:val="TableContents"/>
              <w:bidi w:val="0"/>
              <w:spacing w:before="0" w:after="283"/>
              <w:jc w:val="left"/>
              <w:rPr>
                <w:sz w:val="4"/>
                <w:szCs w:val="4"/>
              </w:rPr>
            </w:pPr>
            <w:r>
              <w:rPr>
                <w:sz w:val="4"/>
                <w:szCs w:val="4"/>
              </w:rPr>
            </w:r>
          </w:p>
        </w:tc>
        <w:tc>
          <w:tcPr>
            <w:tcW w:w="381" w:type="dxa"/>
            <w:tcBorders/>
            <w:vAlign w:val="center"/>
          </w:tcPr>
          <w:p>
            <w:pPr>
              <w:pStyle w:val="TableContents"/>
              <w:bidi w:val="0"/>
              <w:spacing w:before="0" w:after="283"/>
              <w:jc w:val="left"/>
              <w:rPr>
                <w:sz w:val="4"/>
                <w:szCs w:val="4"/>
              </w:rPr>
            </w:pPr>
            <w:r>
              <w:rPr>
                <w:sz w:val="4"/>
                <w:szCs w:val="4"/>
              </w:rPr>
            </w:r>
          </w:p>
        </w:tc>
        <w:tc>
          <w:tcPr>
            <w:tcW w:w="237" w:type="dxa"/>
            <w:tcBorders/>
            <w:vAlign w:val="center"/>
          </w:tcPr>
          <w:p>
            <w:pPr>
              <w:pStyle w:val="TableContents"/>
              <w:bidi w:val="0"/>
              <w:spacing w:before="0" w:after="283"/>
              <w:jc w:val="left"/>
              <w:rPr>
                <w:sz w:val="4"/>
                <w:szCs w:val="4"/>
              </w:rPr>
            </w:pPr>
            <w:r>
              <w:rPr>
                <w:sz w:val="4"/>
                <w:szCs w:val="4"/>
              </w:rPr>
            </w:r>
          </w:p>
        </w:tc>
        <w:tc>
          <w:tcPr>
            <w:tcW w:w="237" w:type="dxa"/>
            <w:tcBorders/>
            <w:vAlign w:val="center"/>
          </w:tcPr>
          <w:p>
            <w:pPr>
              <w:pStyle w:val="TableContents"/>
              <w:bidi w:val="0"/>
              <w:spacing w:before="0" w:after="283"/>
              <w:jc w:val="left"/>
              <w:rPr>
                <w:sz w:val="4"/>
                <w:szCs w:val="4"/>
              </w:rPr>
            </w:pPr>
            <w:r>
              <w:rPr>
                <w:sz w:val="4"/>
                <w:szCs w:val="4"/>
              </w:rPr>
            </w:r>
          </w:p>
        </w:tc>
        <w:tc>
          <w:tcPr>
            <w:tcW w:w="237" w:type="dxa"/>
            <w:tcBorders/>
            <w:vAlign w:val="center"/>
          </w:tcPr>
          <w:p>
            <w:pPr>
              <w:pStyle w:val="TableContents"/>
              <w:bidi w:val="0"/>
              <w:spacing w:before="0" w:after="283"/>
              <w:jc w:val="left"/>
              <w:rPr>
                <w:sz w:val="4"/>
                <w:szCs w:val="4"/>
              </w:rPr>
            </w:pPr>
            <w:r>
              <w:rPr>
                <w:sz w:val="4"/>
                <w:szCs w:val="4"/>
              </w:rPr>
            </w:r>
          </w:p>
        </w:tc>
        <w:tc>
          <w:tcPr>
            <w:tcW w:w="272" w:type="dxa"/>
            <w:tcBorders/>
            <w:vAlign w:val="center"/>
          </w:tcPr>
          <w:p>
            <w:pPr>
              <w:pStyle w:val="TableContents"/>
              <w:bidi w:val="0"/>
              <w:spacing w:before="0" w:after="283"/>
              <w:jc w:val="left"/>
              <w:rPr>
                <w:sz w:val="4"/>
                <w:szCs w:val="4"/>
              </w:rPr>
            </w:pPr>
            <w:r>
              <w:rPr>
                <w:sz w:val="4"/>
                <w:szCs w:val="4"/>
              </w:rPr>
            </w:r>
          </w:p>
        </w:tc>
        <w:tc>
          <w:tcPr>
            <w:tcW w:w="272" w:type="dxa"/>
            <w:tcBorders/>
            <w:vAlign w:val="center"/>
          </w:tcPr>
          <w:p>
            <w:pPr>
              <w:pStyle w:val="TableContents"/>
              <w:bidi w:val="0"/>
              <w:spacing w:before="0" w:after="283"/>
              <w:jc w:val="left"/>
              <w:rPr>
                <w:sz w:val="4"/>
                <w:szCs w:val="4"/>
              </w:rPr>
            </w:pPr>
            <w:r>
              <w:rPr>
                <w:sz w:val="4"/>
                <w:szCs w:val="4"/>
              </w:rPr>
            </w:r>
          </w:p>
        </w:tc>
        <w:tc>
          <w:tcPr>
            <w:tcW w:w="385" w:type="dxa"/>
            <w:tcBorders/>
            <w:vAlign w:val="center"/>
          </w:tcPr>
          <w:p>
            <w:pPr>
              <w:pStyle w:val="TableContents"/>
              <w:bidi w:val="0"/>
              <w:spacing w:before="0" w:after="283"/>
              <w:jc w:val="left"/>
              <w:rPr>
                <w:sz w:val="4"/>
                <w:szCs w:val="4"/>
              </w:rPr>
            </w:pPr>
            <w:r>
              <w:rPr>
                <w:sz w:val="4"/>
                <w:szCs w:val="4"/>
              </w:rPr>
            </w:r>
          </w:p>
        </w:tc>
      </w:tr>
      <w:tr>
        <w:trPr/>
        <w:tc>
          <w:tcPr>
            <w:tcW w:w="3285"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78"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Fiscal Quarter Ended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7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Three Fiscal Quarters Ended</w:t>
            </w:r>
          </w:p>
        </w:tc>
      </w:tr>
      <w:tr>
        <w:trPr/>
        <w:tc>
          <w:tcPr>
            <w:tcW w:w="3285"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September 30,</w:t>
              <w:br/>
              <w:t>2025</w:t>
            </w:r>
          </w:p>
        </w:tc>
        <w:tc>
          <w:tcPr>
            <w:tcW w:w="55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October 1,</w:t>
              <w:b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September 30,</w:t>
              <w:br/>
              <w:t>2025</w:t>
            </w:r>
          </w:p>
        </w:tc>
        <w:tc>
          <w:tcPr>
            <w:tcW w:w="71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October 1,</w:t>
              <w:br/>
              <w:t>2024</w:t>
            </w:r>
          </w:p>
        </w:tc>
      </w:tr>
      <w:tr>
        <w:trPr/>
        <w:tc>
          <w:tcPr>
            <w:tcW w:w="328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Company-Owned Restaurant Activity</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Beginning of period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364 </w:t>
            </w:r>
          </w:p>
        </w:tc>
        <w:tc>
          <w:tcPr>
            <w:tcW w:w="38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379 </w:t>
            </w:r>
          </w:p>
        </w:tc>
        <w:tc>
          <w:tcPr>
            <w:tcW w:w="2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371 </w:t>
            </w:r>
          </w:p>
        </w:tc>
        <w:tc>
          <w:tcPr>
            <w:tcW w:w="38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380 </w:t>
            </w:r>
          </w:p>
        </w:tc>
        <w:tc>
          <w:tcPr>
            <w:tcW w:w="38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Openings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3 </w:t>
            </w:r>
          </w:p>
        </w:tc>
        <w:tc>
          <w:tcPr>
            <w:tcW w:w="2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2 </w:t>
            </w:r>
          </w:p>
        </w:tc>
        <w:tc>
          <w:tcPr>
            <w:tcW w:w="3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10 </w:t>
            </w:r>
          </w:p>
        </w:tc>
        <w:tc>
          <w:tcPr>
            <w:tcW w:w="38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Closures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w:t>
            </w:r>
          </w:p>
        </w:tc>
        <w:tc>
          <w:tcPr>
            <w:tcW w:w="38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w:t>
            </w:r>
          </w:p>
        </w:tc>
        <w:tc>
          <w:tcPr>
            <w:tcW w:w="2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w:t>
            </w:r>
          </w:p>
        </w:tc>
        <w:tc>
          <w:tcPr>
            <w:tcW w:w="38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w:t>
            </w:r>
          </w:p>
        </w:tc>
        <w:tc>
          <w:tcPr>
            <w:tcW w:w="38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8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Divestitures</w:t>
            </w:r>
            <w:r>
              <w:rPr>
                <w:rFonts w:ascii="Times New Roman;serif" w:hAnsi="Times New Roman;serif"/>
                <w:b w:val="false"/>
                <w:color w:val="000000"/>
                <w:sz w:val="13"/>
              </w:rPr>
              <w:t>(1)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w:t>
            </w:r>
          </w:p>
        </w:tc>
        <w:tc>
          <w:tcPr>
            <w:tcW w:w="38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Restaurants at end of period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349 </w:t>
            </w:r>
          </w:p>
        </w:tc>
        <w:tc>
          <w:tcPr>
            <w:tcW w:w="38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377 </w:t>
            </w:r>
          </w:p>
        </w:tc>
        <w:tc>
          <w:tcPr>
            <w:tcW w:w="29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349 </w:t>
            </w:r>
          </w:p>
        </w:tc>
        <w:tc>
          <w:tcPr>
            <w:tcW w:w="38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377 </w:t>
            </w:r>
          </w:p>
        </w:tc>
        <w:tc>
          <w:tcPr>
            <w:tcW w:w="38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Franchise Restaurant Activity</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9"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55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4"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9"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9"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Beginning of period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89 </w:t>
            </w:r>
          </w:p>
        </w:tc>
        <w:tc>
          <w:tcPr>
            <w:tcW w:w="38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94 </w:t>
            </w:r>
          </w:p>
        </w:tc>
        <w:tc>
          <w:tcPr>
            <w:tcW w:w="2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92 </w:t>
            </w:r>
          </w:p>
        </w:tc>
        <w:tc>
          <w:tcPr>
            <w:tcW w:w="38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90 </w:t>
            </w:r>
          </w:p>
        </w:tc>
        <w:tc>
          <w:tcPr>
            <w:tcW w:w="38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Openings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1 </w:t>
            </w:r>
          </w:p>
        </w:tc>
        <w:tc>
          <w:tcPr>
            <w:tcW w:w="2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2 </w:t>
            </w:r>
          </w:p>
        </w:tc>
        <w:tc>
          <w:tcPr>
            <w:tcW w:w="38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8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Acquisitions</w:t>
            </w:r>
            <w:r>
              <w:rPr>
                <w:rFonts w:ascii="Times New Roman;serif" w:hAnsi="Times New Roman;serif"/>
                <w:b w:val="false"/>
                <w:color w:val="000000"/>
                <w:sz w:val="13"/>
              </w:rPr>
              <w:t>(1)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8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8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6 </w:t>
            </w:r>
          </w:p>
        </w:tc>
        <w:tc>
          <w:tcPr>
            <w:tcW w:w="38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Closures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w:t>
            </w:r>
          </w:p>
        </w:tc>
        <w:tc>
          <w:tcPr>
            <w:tcW w:w="3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w:t>
            </w:r>
          </w:p>
        </w:tc>
        <w:tc>
          <w:tcPr>
            <w:tcW w:w="2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w:t>
            </w:r>
          </w:p>
        </w:tc>
        <w:tc>
          <w:tcPr>
            <w:tcW w:w="3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w:t>
            </w:r>
          </w:p>
        </w:tc>
        <w:tc>
          <w:tcPr>
            <w:tcW w:w="38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Restaurants at end of period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86 </w:t>
            </w:r>
          </w:p>
        </w:tc>
        <w:tc>
          <w:tcPr>
            <w:tcW w:w="38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94 </w:t>
            </w:r>
          </w:p>
        </w:tc>
        <w:tc>
          <w:tcPr>
            <w:tcW w:w="29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86 </w:t>
            </w:r>
          </w:p>
        </w:tc>
        <w:tc>
          <w:tcPr>
            <w:tcW w:w="38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94 </w:t>
            </w:r>
          </w:p>
        </w:tc>
        <w:tc>
          <w:tcPr>
            <w:tcW w:w="38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restaurants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8"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435 </w:t>
            </w:r>
          </w:p>
        </w:tc>
        <w:tc>
          <w:tcPr>
            <w:tcW w:w="38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55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8"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471 </w:t>
            </w:r>
          </w:p>
        </w:tc>
        <w:tc>
          <w:tcPr>
            <w:tcW w:w="2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8"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435 </w:t>
            </w:r>
          </w:p>
        </w:tc>
        <w:tc>
          <w:tcPr>
            <w:tcW w:w="38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7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4"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471 </w:t>
            </w:r>
          </w:p>
        </w:tc>
        <w:tc>
          <w:tcPr>
            <w:tcW w:w="38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______________________</w:t>
      </w:r>
    </w:p>
    <w:p>
      <w:pPr>
        <w:pStyle w:val="TextBody"/>
        <w:bidi w:val="0"/>
        <w:spacing w:lineRule="auto" w:line="288" w:before="0" w:after="0"/>
        <w:jc w:val="both"/>
        <w:rPr>
          <w:rFonts w:ascii="Times New Roman;serif" w:hAnsi="Times New Roman;serif"/>
          <w:b w:val="false"/>
          <w:color w:val="000000"/>
          <w:sz w:val="16"/>
        </w:rPr>
      </w:pPr>
      <w:r>
        <w:rPr>
          <w:rFonts w:ascii="Times New Roman;serif" w:hAnsi="Times New Roman;serif"/>
          <w:b w:val="false"/>
          <w:color w:val="000000"/>
          <w:sz w:val="16"/>
        </w:rPr>
        <w:t>(1)    Represents six company-owned restaurants sold to a franchisee in 2024.</w:t>
      </w:r>
    </w:p>
    <w:p>
      <w:pPr>
        <w:pStyle w:val="TextBody"/>
        <w:bidi w:val="0"/>
        <w:spacing w:before="0" w:after="0"/>
        <w:ind w:left="0" w:right="0" w:hanging="450"/>
        <w:jc w:val="left"/>
        <w:rPr/>
      </w:pPr>
      <w:r>
        <w:rPr/>
      </w:r>
    </w:p>
    <w:p>
      <w:pPr>
        <w:pStyle w:val="TextBody"/>
        <w:bidi w:val="0"/>
        <w:spacing w:before="0" w:after="0"/>
        <w:ind w:left="0" w:right="0" w:hanging="450"/>
        <w:jc w:val="left"/>
        <w:rPr/>
      </w:pPr>
      <w:r>
        <w:rPr/>
      </w:r>
    </w:p>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2">
                <wp:simplePos x="0" y="0"/>
                <wp:positionH relativeFrom="character">
                  <wp:align>left</wp:align>
                </wp:positionH>
                <wp:positionV relativeFrom="line">
                  <wp:posOffset>635</wp:posOffset>
                </wp:positionV>
                <wp:extent cx="6480175" cy="146685"/>
                <wp:effectExtent l="0" t="0" r="0" b="0"/>
                <wp:wrapNone/>
                <wp:docPr id="21" name="Frame2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20</w:t>
                      </w:r>
                    </w:p>
                  </w:txbxContent>
                </v:textbox>
                <w10:wrap type="none"/>
              </v:rect>
            </w:pict>
          </mc:Fallback>
        </mc:AlternateContent>
      </w:r>
    </w:p>
    <w:p>
      <w:pPr>
        <w:pStyle w:val="TextBody"/>
        <w:bidi w:val="0"/>
        <w:spacing w:lineRule="auto" w:line="288" w:before="160" w:after="160"/>
        <w:jc w:val="left"/>
        <w:rPr/>
      </w:pPr>
      <w:hyperlink w:anchor="i0388035fcf6a4f6ca5f569f2895a7d6a_10">
        <w:r>
          <w:rPr>
            <w:rStyle w:val="InternetLink"/>
            <w:rFonts w:ascii="Times New Roman;serif" w:hAnsi="Times New Roman;serif"/>
            <w:b w:val="false"/>
            <w:color w:val="0000FF"/>
            <w:sz w:val="20"/>
            <w:u w:val="single"/>
          </w:rPr>
          <w:t>Table of Contents</w:t>
        </w:r>
      </w:hyperlink>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i/>
          <w:color w:val="000000"/>
          <w:sz w:val="20"/>
        </w:rPr>
      </w:pPr>
      <w:r>
        <w:rPr>
          <w:rFonts w:ascii="Times New Roman;serif" w:hAnsi="Times New Roman;serif"/>
          <w:b/>
          <w:i/>
          <w:color w:val="000000"/>
          <w:sz w:val="20"/>
        </w:rPr>
        <w:t>Statement of Operations as a Percentage of Revenue</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The following table summarizes key components of our results of operations for the periods indicated as a percentage of our total revenue, except for the components of restaurant operating costs, which are expressed as a percentage of restaurant revenue. </w:t>
      </w:r>
    </w:p>
    <w:tbl>
      <w:tblPr>
        <w:tblW w:w="10205" w:type="dxa"/>
        <w:jc w:val="left"/>
        <w:tblInd w:w="0" w:type="dxa"/>
        <w:tblLayout w:type="fixed"/>
        <w:tblCellMar>
          <w:top w:w="28" w:type="dxa"/>
          <w:left w:w="28" w:type="dxa"/>
          <w:bottom w:w="28" w:type="dxa"/>
          <w:right w:w="28" w:type="dxa"/>
        </w:tblCellMar>
      </w:tblPr>
      <w:tblGrid>
        <w:gridCol w:w="1661"/>
        <w:gridCol w:w="1314"/>
        <w:gridCol w:w="1321"/>
        <w:gridCol w:w="109"/>
        <w:gridCol w:w="109"/>
        <w:gridCol w:w="109"/>
        <w:gridCol w:w="307"/>
        <w:gridCol w:w="309"/>
        <w:gridCol w:w="549"/>
        <w:gridCol w:w="122"/>
        <w:gridCol w:w="122"/>
        <w:gridCol w:w="122"/>
        <w:gridCol w:w="307"/>
        <w:gridCol w:w="309"/>
        <w:gridCol w:w="436"/>
        <w:gridCol w:w="109"/>
        <w:gridCol w:w="109"/>
        <w:gridCol w:w="109"/>
        <w:gridCol w:w="307"/>
        <w:gridCol w:w="309"/>
        <w:gridCol w:w="549"/>
        <w:gridCol w:w="140"/>
        <w:gridCol w:w="140"/>
        <w:gridCol w:w="140"/>
        <w:gridCol w:w="307"/>
        <w:gridCol w:w="309"/>
        <w:gridCol w:w="471"/>
      </w:tblGrid>
      <w:tr>
        <w:trPr/>
        <w:tc>
          <w:tcPr>
            <w:tcW w:w="1661" w:type="dxa"/>
            <w:tcBorders/>
            <w:vAlign w:val="center"/>
          </w:tcPr>
          <w:p>
            <w:pPr>
              <w:pStyle w:val="TableContents"/>
              <w:bidi w:val="0"/>
              <w:spacing w:before="0" w:after="283"/>
              <w:jc w:val="left"/>
              <w:rPr>
                <w:sz w:val="4"/>
                <w:szCs w:val="4"/>
              </w:rPr>
            </w:pPr>
            <w:r>
              <w:rPr>
                <w:sz w:val="4"/>
                <w:szCs w:val="4"/>
              </w:rPr>
            </w:r>
          </w:p>
        </w:tc>
        <w:tc>
          <w:tcPr>
            <w:tcW w:w="1314" w:type="dxa"/>
            <w:tcBorders/>
            <w:vAlign w:val="center"/>
          </w:tcPr>
          <w:p>
            <w:pPr>
              <w:pStyle w:val="TableContents"/>
              <w:bidi w:val="0"/>
              <w:spacing w:before="0" w:after="283"/>
              <w:jc w:val="left"/>
              <w:rPr>
                <w:sz w:val="4"/>
                <w:szCs w:val="4"/>
              </w:rPr>
            </w:pPr>
            <w:r>
              <w:rPr>
                <w:sz w:val="4"/>
                <w:szCs w:val="4"/>
              </w:rPr>
            </w:r>
          </w:p>
        </w:tc>
        <w:tc>
          <w:tcPr>
            <w:tcW w:w="13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7" w:type="dxa"/>
            <w:tcBorders/>
            <w:vAlign w:val="center"/>
          </w:tcPr>
          <w:p>
            <w:pPr>
              <w:pStyle w:val="TableContents"/>
              <w:bidi w:val="0"/>
              <w:spacing w:before="0" w:after="283"/>
              <w:jc w:val="left"/>
              <w:rPr>
                <w:sz w:val="4"/>
                <w:szCs w:val="4"/>
              </w:rPr>
            </w:pPr>
            <w:r>
              <w:rPr>
                <w:sz w:val="4"/>
                <w:szCs w:val="4"/>
              </w:rPr>
            </w:r>
          </w:p>
        </w:tc>
        <w:tc>
          <w:tcPr>
            <w:tcW w:w="309" w:type="dxa"/>
            <w:tcBorders/>
            <w:vAlign w:val="center"/>
          </w:tcPr>
          <w:p>
            <w:pPr>
              <w:pStyle w:val="TableContents"/>
              <w:bidi w:val="0"/>
              <w:spacing w:before="0" w:after="283"/>
              <w:jc w:val="left"/>
              <w:rPr>
                <w:sz w:val="4"/>
                <w:szCs w:val="4"/>
              </w:rPr>
            </w:pPr>
            <w:r>
              <w:rPr>
                <w:sz w:val="4"/>
                <w:szCs w:val="4"/>
              </w:rPr>
            </w:r>
          </w:p>
        </w:tc>
        <w:tc>
          <w:tcPr>
            <w:tcW w:w="549" w:type="dxa"/>
            <w:tcBorders/>
            <w:vAlign w:val="center"/>
          </w:tcPr>
          <w:p>
            <w:pPr>
              <w:pStyle w:val="TableContents"/>
              <w:bidi w:val="0"/>
              <w:spacing w:before="0" w:after="283"/>
              <w:jc w:val="left"/>
              <w:rPr>
                <w:sz w:val="4"/>
                <w:szCs w:val="4"/>
              </w:rPr>
            </w:pPr>
            <w:r>
              <w:rPr>
                <w:sz w:val="4"/>
                <w:szCs w:val="4"/>
              </w:rPr>
            </w:r>
          </w:p>
        </w:tc>
        <w:tc>
          <w:tcPr>
            <w:tcW w:w="122" w:type="dxa"/>
            <w:tcBorders/>
            <w:vAlign w:val="center"/>
          </w:tcPr>
          <w:p>
            <w:pPr>
              <w:pStyle w:val="TableContents"/>
              <w:bidi w:val="0"/>
              <w:spacing w:before="0" w:after="283"/>
              <w:jc w:val="left"/>
              <w:rPr>
                <w:sz w:val="4"/>
                <w:szCs w:val="4"/>
              </w:rPr>
            </w:pPr>
            <w:r>
              <w:rPr>
                <w:sz w:val="4"/>
                <w:szCs w:val="4"/>
              </w:rPr>
            </w:r>
          </w:p>
        </w:tc>
        <w:tc>
          <w:tcPr>
            <w:tcW w:w="122" w:type="dxa"/>
            <w:tcBorders/>
            <w:vAlign w:val="center"/>
          </w:tcPr>
          <w:p>
            <w:pPr>
              <w:pStyle w:val="TableContents"/>
              <w:bidi w:val="0"/>
              <w:spacing w:before="0" w:after="283"/>
              <w:jc w:val="left"/>
              <w:rPr>
                <w:sz w:val="4"/>
                <w:szCs w:val="4"/>
              </w:rPr>
            </w:pPr>
            <w:r>
              <w:rPr>
                <w:sz w:val="4"/>
                <w:szCs w:val="4"/>
              </w:rPr>
            </w:r>
          </w:p>
        </w:tc>
        <w:tc>
          <w:tcPr>
            <w:tcW w:w="122" w:type="dxa"/>
            <w:tcBorders/>
            <w:vAlign w:val="center"/>
          </w:tcPr>
          <w:p>
            <w:pPr>
              <w:pStyle w:val="TableContents"/>
              <w:bidi w:val="0"/>
              <w:spacing w:before="0" w:after="283"/>
              <w:jc w:val="left"/>
              <w:rPr>
                <w:sz w:val="4"/>
                <w:szCs w:val="4"/>
              </w:rPr>
            </w:pPr>
            <w:r>
              <w:rPr>
                <w:sz w:val="4"/>
                <w:szCs w:val="4"/>
              </w:rPr>
            </w:r>
          </w:p>
        </w:tc>
        <w:tc>
          <w:tcPr>
            <w:tcW w:w="307" w:type="dxa"/>
            <w:tcBorders/>
            <w:vAlign w:val="center"/>
          </w:tcPr>
          <w:p>
            <w:pPr>
              <w:pStyle w:val="TableContents"/>
              <w:bidi w:val="0"/>
              <w:spacing w:before="0" w:after="283"/>
              <w:jc w:val="left"/>
              <w:rPr>
                <w:sz w:val="4"/>
                <w:szCs w:val="4"/>
              </w:rPr>
            </w:pPr>
            <w:r>
              <w:rPr>
                <w:sz w:val="4"/>
                <w:szCs w:val="4"/>
              </w:rPr>
            </w:r>
          </w:p>
        </w:tc>
        <w:tc>
          <w:tcPr>
            <w:tcW w:w="309" w:type="dxa"/>
            <w:tcBorders/>
            <w:vAlign w:val="center"/>
          </w:tcPr>
          <w:p>
            <w:pPr>
              <w:pStyle w:val="TableContents"/>
              <w:bidi w:val="0"/>
              <w:spacing w:before="0" w:after="283"/>
              <w:jc w:val="left"/>
              <w:rPr>
                <w:sz w:val="4"/>
                <w:szCs w:val="4"/>
              </w:rPr>
            </w:pPr>
            <w:r>
              <w:rPr>
                <w:sz w:val="4"/>
                <w:szCs w:val="4"/>
              </w:rPr>
            </w:r>
          </w:p>
        </w:tc>
        <w:tc>
          <w:tcPr>
            <w:tcW w:w="4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7" w:type="dxa"/>
            <w:tcBorders/>
            <w:vAlign w:val="center"/>
          </w:tcPr>
          <w:p>
            <w:pPr>
              <w:pStyle w:val="TableContents"/>
              <w:bidi w:val="0"/>
              <w:spacing w:before="0" w:after="283"/>
              <w:jc w:val="left"/>
              <w:rPr>
                <w:sz w:val="4"/>
                <w:szCs w:val="4"/>
              </w:rPr>
            </w:pPr>
            <w:r>
              <w:rPr>
                <w:sz w:val="4"/>
                <w:szCs w:val="4"/>
              </w:rPr>
            </w:r>
          </w:p>
        </w:tc>
        <w:tc>
          <w:tcPr>
            <w:tcW w:w="309" w:type="dxa"/>
            <w:tcBorders/>
            <w:vAlign w:val="center"/>
          </w:tcPr>
          <w:p>
            <w:pPr>
              <w:pStyle w:val="TableContents"/>
              <w:bidi w:val="0"/>
              <w:spacing w:before="0" w:after="283"/>
              <w:jc w:val="left"/>
              <w:rPr>
                <w:sz w:val="4"/>
                <w:szCs w:val="4"/>
              </w:rPr>
            </w:pPr>
            <w:r>
              <w:rPr>
                <w:sz w:val="4"/>
                <w:szCs w:val="4"/>
              </w:rPr>
            </w:r>
          </w:p>
        </w:tc>
        <w:tc>
          <w:tcPr>
            <w:tcW w:w="549"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307" w:type="dxa"/>
            <w:tcBorders/>
            <w:vAlign w:val="center"/>
          </w:tcPr>
          <w:p>
            <w:pPr>
              <w:pStyle w:val="TableContents"/>
              <w:bidi w:val="0"/>
              <w:spacing w:before="0" w:after="283"/>
              <w:jc w:val="left"/>
              <w:rPr>
                <w:sz w:val="4"/>
                <w:szCs w:val="4"/>
              </w:rPr>
            </w:pPr>
            <w:r>
              <w:rPr>
                <w:sz w:val="4"/>
                <w:szCs w:val="4"/>
              </w:rPr>
            </w:r>
          </w:p>
        </w:tc>
        <w:tc>
          <w:tcPr>
            <w:tcW w:w="309" w:type="dxa"/>
            <w:tcBorders/>
            <w:vAlign w:val="center"/>
          </w:tcPr>
          <w:p>
            <w:pPr>
              <w:pStyle w:val="TableContents"/>
              <w:bidi w:val="0"/>
              <w:spacing w:before="0" w:after="283"/>
              <w:jc w:val="left"/>
              <w:rPr>
                <w:sz w:val="4"/>
                <w:szCs w:val="4"/>
              </w:rPr>
            </w:pPr>
            <w:r>
              <w:rPr>
                <w:sz w:val="4"/>
                <w:szCs w:val="4"/>
              </w:rPr>
            </w:r>
          </w:p>
        </w:tc>
        <w:tc>
          <w:tcPr>
            <w:tcW w:w="471" w:type="dxa"/>
            <w:tcBorders/>
            <w:vAlign w:val="center"/>
          </w:tcPr>
          <w:p>
            <w:pPr>
              <w:pStyle w:val="TableContents"/>
              <w:bidi w:val="0"/>
              <w:spacing w:before="0" w:after="283"/>
              <w:jc w:val="left"/>
              <w:rPr>
                <w:sz w:val="4"/>
                <w:szCs w:val="4"/>
              </w:rPr>
            </w:pPr>
            <w:r>
              <w:rPr>
                <w:sz w:val="4"/>
                <w:szCs w:val="4"/>
              </w:rPr>
            </w:r>
          </w:p>
        </w:tc>
      </w:tr>
      <w:tr>
        <w:trPr/>
        <w:tc>
          <w:tcPr>
            <w:tcW w:w="4296"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83"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Fiscal Quarter Ended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72"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Three Fiscal Quarters Ended</w:t>
            </w:r>
          </w:p>
        </w:tc>
      </w:tr>
      <w:tr>
        <w:trPr/>
        <w:tc>
          <w:tcPr>
            <w:tcW w:w="4296"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September 30,</w:t>
              <w:br/>
              <w:t>2025</w:t>
            </w:r>
          </w:p>
        </w:tc>
        <w:tc>
          <w:tcPr>
            <w:tcW w:w="36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October 1,</w:t>
              <w:b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5"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September 30,</w:t>
              <w:br/>
              <w:t>2025</w:t>
            </w:r>
          </w:p>
        </w:tc>
        <w:tc>
          <w:tcPr>
            <w:tcW w:w="42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7"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October 1,</w:t>
              <w:br/>
              <w:t>2024</w:t>
            </w:r>
          </w:p>
        </w:tc>
      </w:tr>
      <w:tr>
        <w:trPr/>
        <w:tc>
          <w:tcPr>
            <w:tcW w:w="42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82" w:type="dxa"/>
            <w:gridSpan w:val="21"/>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(unaudited)</w:t>
            </w:r>
          </w:p>
        </w:tc>
      </w:tr>
      <w:tr>
        <w:trPr/>
        <w:tc>
          <w:tcPr>
            <w:tcW w:w="429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20"/>
              </w:rPr>
            </w:pPr>
            <w:r>
              <w:rPr>
                <w:rFonts w:ascii="Times New Roman;serif" w:hAnsi="Times New Roman;serif"/>
                <w:b w:val="false"/>
                <w:i/>
                <w:color w:val="000000"/>
                <w:sz w:val="20"/>
              </w:rPr>
              <w:t>Revenue: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5"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5"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4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r>
      <w:tr>
        <w:trPr/>
        <w:tc>
          <w:tcPr>
            <w:tcW w:w="429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Restaurant revenue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97.9 </w:t>
            </w:r>
          </w:p>
        </w:tc>
        <w:tc>
          <w:tcPr>
            <w:tcW w:w="54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97.9 </w:t>
            </w:r>
          </w:p>
        </w:tc>
        <w:tc>
          <w:tcPr>
            <w:tcW w:w="4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98.0 </w:t>
            </w:r>
          </w:p>
        </w:tc>
        <w:tc>
          <w:tcPr>
            <w:tcW w:w="54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42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98.0 </w:t>
            </w:r>
          </w:p>
        </w:tc>
        <w:tc>
          <w:tcPr>
            <w:tcW w:w="4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429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Franchising royalties and fees, and other</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2.1 </w:t>
            </w:r>
          </w:p>
        </w:tc>
        <w:tc>
          <w:tcPr>
            <w:tcW w:w="54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2.1 </w:t>
            </w:r>
          </w:p>
        </w:tc>
        <w:tc>
          <w:tcPr>
            <w:tcW w:w="4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2.0 </w:t>
            </w:r>
          </w:p>
        </w:tc>
        <w:tc>
          <w:tcPr>
            <w:tcW w:w="54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42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2.0 </w:t>
            </w:r>
          </w:p>
        </w:tc>
        <w:tc>
          <w:tcPr>
            <w:tcW w:w="4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429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revenue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100.0 </w:t>
            </w:r>
          </w:p>
        </w:tc>
        <w:tc>
          <w:tcPr>
            <w:tcW w:w="54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100.0 </w:t>
            </w:r>
          </w:p>
        </w:tc>
        <w:tc>
          <w:tcPr>
            <w:tcW w:w="4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100.0 </w:t>
            </w:r>
          </w:p>
        </w:tc>
        <w:tc>
          <w:tcPr>
            <w:tcW w:w="54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42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100.0 </w:t>
            </w:r>
          </w:p>
        </w:tc>
        <w:tc>
          <w:tcPr>
            <w:tcW w:w="4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429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20"/>
              </w:rPr>
            </w:pPr>
            <w:r>
              <w:rPr>
                <w:rFonts w:ascii="Times New Roman;serif" w:hAnsi="Times New Roman;serif"/>
                <w:b w:val="false"/>
                <w:i/>
                <w:color w:val="000000"/>
                <w:sz w:val="20"/>
              </w:rPr>
              <w:t>Costs and expenses: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96"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270"/>
              <w:jc w:val="left"/>
              <w:rPr>
                <w:rFonts w:ascii="Times New Roman;serif" w:hAnsi="Times New Roman;serif"/>
                <w:b w:val="false"/>
                <w:color w:val="000000"/>
                <w:sz w:val="20"/>
              </w:rPr>
            </w:pPr>
            <w:r>
              <w:rPr>
                <w:rFonts w:ascii="Times New Roman;serif" w:hAnsi="Times New Roman;serif"/>
                <w:b w:val="false"/>
                <w:color w:val="000000"/>
                <w:sz w:val="20"/>
              </w:rPr>
              <w:t xml:space="preserve">Restaurant operating costs (exclusive of depreciation and amortization shown separately below):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9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Cost of sales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25.7 </w:t>
            </w:r>
          </w:p>
        </w:tc>
        <w:tc>
          <w:tcPr>
            <w:tcW w:w="54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25.5 </w:t>
            </w:r>
          </w:p>
        </w:tc>
        <w:tc>
          <w:tcPr>
            <w:tcW w:w="4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26.3 </w:t>
            </w:r>
          </w:p>
        </w:tc>
        <w:tc>
          <w:tcPr>
            <w:tcW w:w="54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42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25.1 </w:t>
            </w:r>
          </w:p>
        </w:tc>
        <w:tc>
          <w:tcPr>
            <w:tcW w:w="4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429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Labor</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31.4 </w:t>
            </w:r>
          </w:p>
        </w:tc>
        <w:tc>
          <w:tcPr>
            <w:tcW w:w="54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32.0 </w:t>
            </w:r>
          </w:p>
        </w:tc>
        <w:tc>
          <w:tcPr>
            <w:tcW w:w="4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31.9 </w:t>
            </w:r>
          </w:p>
        </w:tc>
        <w:tc>
          <w:tcPr>
            <w:tcW w:w="54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42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31.8 </w:t>
            </w:r>
          </w:p>
        </w:tc>
        <w:tc>
          <w:tcPr>
            <w:tcW w:w="4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429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Occupancy</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9.3 </w:t>
            </w:r>
          </w:p>
        </w:tc>
        <w:tc>
          <w:tcPr>
            <w:tcW w:w="54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9.6 </w:t>
            </w:r>
          </w:p>
        </w:tc>
        <w:tc>
          <w:tcPr>
            <w:tcW w:w="4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9.3 </w:t>
            </w:r>
          </w:p>
        </w:tc>
        <w:tc>
          <w:tcPr>
            <w:tcW w:w="54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42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9.6 </w:t>
            </w:r>
          </w:p>
        </w:tc>
        <w:tc>
          <w:tcPr>
            <w:tcW w:w="4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429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restaurant operating costs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20.5 </w:t>
            </w:r>
          </w:p>
        </w:tc>
        <w:tc>
          <w:tcPr>
            <w:tcW w:w="54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20.1 </w:t>
            </w:r>
          </w:p>
        </w:tc>
        <w:tc>
          <w:tcPr>
            <w:tcW w:w="4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20.5 </w:t>
            </w:r>
          </w:p>
        </w:tc>
        <w:tc>
          <w:tcPr>
            <w:tcW w:w="54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42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19.7 </w:t>
            </w:r>
          </w:p>
        </w:tc>
        <w:tc>
          <w:tcPr>
            <w:tcW w:w="4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429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General and administrative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10.1 </w:t>
            </w:r>
          </w:p>
        </w:tc>
        <w:tc>
          <w:tcPr>
            <w:tcW w:w="54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10.5 </w:t>
            </w:r>
          </w:p>
        </w:tc>
        <w:tc>
          <w:tcPr>
            <w:tcW w:w="4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10.1 </w:t>
            </w:r>
          </w:p>
        </w:tc>
        <w:tc>
          <w:tcPr>
            <w:tcW w:w="54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42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10.6 </w:t>
            </w:r>
          </w:p>
        </w:tc>
        <w:tc>
          <w:tcPr>
            <w:tcW w:w="4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429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Depreciation and amortization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5.4 </w:t>
            </w:r>
          </w:p>
        </w:tc>
        <w:tc>
          <w:tcPr>
            <w:tcW w:w="54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5.9 </w:t>
            </w:r>
          </w:p>
        </w:tc>
        <w:tc>
          <w:tcPr>
            <w:tcW w:w="4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5.6 </w:t>
            </w:r>
          </w:p>
        </w:tc>
        <w:tc>
          <w:tcPr>
            <w:tcW w:w="54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42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5.9 </w:t>
            </w:r>
          </w:p>
        </w:tc>
        <w:tc>
          <w:tcPr>
            <w:tcW w:w="4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429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Pre-opening</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54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0.4 </w:t>
            </w:r>
          </w:p>
        </w:tc>
        <w:tc>
          <w:tcPr>
            <w:tcW w:w="4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0.1 </w:t>
            </w:r>
          </w:p>
        </w:tc>
        <w:tc>
          <w:tcPr>
            <w:tcW w:w="54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42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0.4 </w:t>
            </w:r>
          </w:p>
        </w:tc>
        <w:tc>
          <w:tcPr>
            <w:tcW w:w="4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429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Restaurant impairments, closure costs and asset disposals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4.7 </w:t>
            </w:r>
          </w:p>
        </w:tc>
        <w:tc>
          <w:tcPr>
            <w:tcW w:w="54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1.8 </w:t>
            </w:r>
          </w:p>
        </w:tc>
        <w:tc>
          <w:tcPr>
            <w:tcW w:w="4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5.5 </w:t>
            </w:r>
          </w:p>
        </w:tc>
        <w:tc>
          <w:tcPr>
            <w:tcW w:w="54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42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4.2 </w:t>
            </w:r>
          </w:p>
        </w:tc>
        <w:tc>
          <w:tcPr>
            <w:tcW w:w="4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429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costs and expenses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105.2 </w:t>
            </w:r>
          </w:p>
        </w:tc>
        <w:tc>
          <w:tcPr>
            <w:tcW w:w="549"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103.9 </w:t>
            </w:r>
          </w:p>
        </w:tc>
        <w:tc>
          <w:tcPr>
            <w:tcW w:w="43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107.4 </w:t>
            </w:r>
          </w:p>
        </w:tc>
        <w:tc>
          <w:tcPr>
            <w:tcW w:w="549"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42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105.5 </w:t>
            </w:r>
          </w:p>
        </w:tc>
        <w:tc>
          <w:tcPr>
            <w:tcW w:w="47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429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Loss from operations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(5.2)</w:t>
            </w:r>
          </w:p>
        </w:tc>
        <w:tc>
          <w:tcPr>
            <w:tcW w:w="54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w:t>
            </w:r>
          </w:p>
        </w:tc>
        <w:tc>
          <w:tcPr>
            <w:tcW w:w="4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(7.4)</w:t>
            </w:r>
          </w:p>
        </w:tc>
        <w:tc>
          <w:tcPr>
            <w:tcW w:w="54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42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(5.5)</w:t>
            </w:r>
          </w:p>
        </w:tc>
        <w:tc>
          <w:tcPr>
            <w:tcW w:w="4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4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5" w:type="dxa"/>
            <w:gridSpan w:val="3"/>
            <w:tcBorders/>
            <w:vAlign w:val="center"/>
          </w:tcPr>
          <w:p>
            <w:pPr>
              <w:pStyle w:val="TableContents"/>
              <w:bidi w:val="0"/>
              <w:spacing w:before="0" w:after="283"/>
              <w:jc w:val="left"/>
              <w:rPr>
                <w:sz w:val="4"/>
                <w:szCs w:val="4"/>
              </w:rPr>
            </w:pPr>
            <w:r>
              <w:rPr>
                <w:sz w:val="4"/>
                <w:szCs w:val="4"/>
              </w:rPr>
            </w:r>
          </w:p>
        </w:tc>
        <w:tc>
          <w:tcPr>
            <w:tcW w:w="366" w:type="dxa"/>
            <w:gridSpan w:val="3"/>
            <w:tcBorders/>
            <w:vAlign w:val="center"/>
          </w:tcPr>
          <w:p>
            <w:pPr>
              <w:pStyle w:val="TableContents"/>
              <w:bidi w:val="0"/>
              <w:spacing w:before="0" w:after="283"/>
              <w:jc w:val="left"/>
              <w:rPr>
                <w:sz w:val="4"/>
                <w:szCs w:val="4"/>
              </w:rPr>
            </w:pPr>
            <w:r>
              <w:rPr>
                <w:sz w:val="4"/>
                <w:szCs w:val="4"/>
              </w:rPr>
            </w:r>
          </w:p>
        </w:tc>
        <w:tc>
          <w:tcPr>
            <w:tcW w:w="105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5" w:type="dxa"/>
            <w:gridSpan w:val="3"/>
            <w:tcBorders/>
            <w:vAlign w:val="center"/>
          </w:tcPr>
          <w:p>
            <w:pPr>
              <w:pStyle w:val="TableContents"/>
              <w:bidi w:val="0"/>
              <w:spacing w:before="0" w:after="283"/>
              <w:jc w:val="left"/>
              <w:rPr>
                <w:sz w:val="4"/>
                <w:szCs w:val="4"/>
              </w:rPr>
            </w:pPr>
            <w:r>
              <w:rPr>
                <w:sz w:val="4"/>
                <w:szCs w:val="4"/>
              </w:rPr>
            </w:r>
          </w:p>
        </w:tc>
        <w:tc>
          <w:tcPr>
            <w:tcW w:w="420" w:type="dxa"/>
            <w:gridSpan w:val="3"/>
            <w:tcBorders/>
            <w:vAlign w:val="center"/>
          </w:tcPr>
          <w:p>
            <w:pPr>
              <w:pStyle w:val="TableContents"/>
              <w:bidi w:val="0"/>
              <w:spacing w:before="0" w:after="283"/>
              <w:jc w:val="left"/>
              <w:rPr>
                <w:sz w:val="4"/>
                <w:szCs w:val="4"/>
              </w:rPr>
            </w:pPr>
            <w:r>
              <w:rPr>
                <w:sz w:val="4"/>
                <w:szCs w:val="4"/>
              </w:rPr>
            </w:r>
          </w:p>
        </w:tc>
        <w:tc>
          <w:tcPr>
            <w:tcW w:w="1087" w:type="dxa"/>
            <w:gridSpan w:val="3"/>
            <w:tcBorders/>
            <w:vAlign w:val="center"/>
          </w:tcPr>
          <w:p>
            <w:pPr>
              <w:pStyle w:val="TableContents"/>
              <w:bidi w:val="0"/>
              <w:spacing w:before="0" w:after="283"/>
              <w:jc w:val="left"/>
              <w:rPr>
                <w:sz w:val="4"/>
                <w:szCs w:val="4"/>
              </w:rPr>
            </w:pPr>
            <w:r>
              <w:rPr>
                <w:sz w:val="4"/>
                <w:szCs w:val="4"/>
              </w:rPr>
            </w:r>
          </w:p>
        </w:tc>
      </w:tr>
      <w:tr>
        <w:trPr/>
        <w:tc>
          <w:tcPr>
            <w:tcW w:w="429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expense, net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2.3 </w:t>
            </w:r>
          </w:p>
        </w:tc>
        <w:tc>
          <w:tcPr>
            <w:tcW w:w="54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1.8 </w:t>
            </w:r>
          </w:p>
        </w:tc>
        <w:tc>
          <w:tcPr>
            <w:tcW w:w="4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2.2 </w:t>
            </w:r>
          </w:p>
        </w:tc>
        <w:tc>
          <w:tcPr>
            <w:tcW w:w="54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42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1.6 </w:t>
            </w:r>
          </w:p>
        </w:tc>
        <w:tc>
          <w:tcPr>
            <w:tcW w:w="4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429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Loss before income taxes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(7.5)</w:t>
            </w:r>
          </w:p>
        </w:tc>
        <w:tc>
          <w:tcPr>
            <w:tcW w:w="54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(5.7)</w:t>
            </w:r>
          </w:p>
        </w:tc>
        <w:tc>
          <w:tcPr>
            <w:tcW w:w="4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(9.6)</w:t>
            </w:r>
          </w:p>
        </w:tc>
        <w:tc>
          <w:tcPr>
            <w:tcW w:w="54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42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(7.1)</w:t>
            </w:r>
          </w:p>
        </w:tc>
        <w:tc>
          <w:tcPr>
            <w:tcW w:w="4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429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Provision for (benefit from) income taxes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54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(0.1)</w:t>
            </w:r>
          </w:p>
        </w:tc>
        <w:tc>
          <w:tcPr>
            <w:tcW w:w="4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54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42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429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loss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(7.5)</w:t>
            </w:r>
          </w:p>
        </w:tc>
        <w:tc>
          <w:tcPr>
            <w:tcW w:w="54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(5.6)</w:t>
            </w:r>
          </w:p>
        </w:tc>
        <w:tc>
          <w:tcPr>
            <w:tcW w:w="43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(9.6)</w:t>
            </w:r>
          </w:p>
        </w:tc>
        <w:tc>
          <w:tcPr>
            <w:tcW w:w="54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42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(7.1)</w:t>
            </w:r>
          </w:p>
        </w:tc>
        <w:tc>
          <w:tcPr>
            <w:tcW w:w="47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bl>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3">
                <wp:simplePos x="0" y="0"/>
                <wp:positionH relativeFrom="character">
                  <wp:align>left</wp:align>
                </wp:positionH>
                <wp:positionV relativeFrom="line">
                  <wp:posOffset>635</wp:posOffset>
                </wp:positionV>
                <wp:extent cx="6480175" cy="146685"/>
                <wp:effectExtent l="0" t="0" r="0" b="0"/>
                <wp:wrapNone/>
                <wp:docPr id="22" name="Frame2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21</w:t>
                      </w:r>
                    </w:p>
                  </w:txbxContent>
                </v:textbox>
                <w10:wrap type="none"/>
              </v:rect>
            </w:pict>
          </mc:Fallback>
        </mc:AlternateContent>
      </w:r>
    </w:p>
    <w:p>
      <w:pPr>
        <w:pStyle w:val="TextBody"/>
        <w:bidi w:val="0"/>
        <w:spacing w:lineRule="auto" w:line="288" w:before="160" w:after="160"/>
        <w:jc w:val="left"/>
        <w:rPr/>
      </w:pPr>
      <w:hyperlink w:anchor="i0388035fcf6a4f6ca5f569f2895a7d6a_10">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jc w:val="both"/>
        <w:rPr>
          <w:rFonts w:ascii="Times New Roman;serif" w:hAnsi="Times New Roman;serif"/>
          <w:b/>
          <w:color w:val="000000"/>
          <w:sz w:val="20"/>
        </w:rPr>
      </w:pPr>
      <w:r>
        <w:rPr>
          <w:rFonts w:ascii="Times New Roman;serif" w:hAnsi="Times New Roman;serif"/>
          <w:b/>
          <w:color w:val="000000"/>
          <w:sz w:val="20"/>
        </w:rPr>
        <w:t xml:space="preserve">Third Quarter Ended September 30, 2025 Compared to Third Quarter Ended October 1, 2024 </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The table below presents our unaudited operating results for the third quarters of 2025 and 2024, and the related quarter-over-quarter changes. </w:t>
      </w:r>
    </w:p>
    <w:tbl>
      <w:tblPr>
        <w:tblW w:w="10205" w:type="dxa"/>
        <w:jc w:val="left"/>
        <w:tblInd w:w="0" w:type="dxa"/>
        <w:tblLayout w:type="fixed"/>
        <w:tblCellMar>
          <w:top w:w="28" w:type="dxa"/>
          <w:left w:w="28" w:type="dxa"/>
          <w:bottom w:w="28" w:type="dxa"/>
          <w:right w:w="28" w:type="dxa"/>
        </w:tblCellMar>
      </w:tblPr>
      <w:tblGrid>
        <w:gridCol w:w="1756"/>
        <w:gridCol w:w="1283"/>
        <w:gridCol w:w="1290"/>
        <w:gridCol w:w="109"/>
        <w:gridCol w:w="109"/>
        <w:gridCol w:w="109"/>
        <w:gridCol w:w="211"/>
        <w:gridCol w:w="826"/>
        <w:gridCol w:w="271"/>
        <w:gridCol w:w="109"/>
        <w:gridCol w:w="109"/>
        <w:gridCol w:w="109"/>
        <w:gridCol w:w="211"/>
        <w:gridCol w:w="826"/>
        <w:gridCol w:w="271"/>
        <w:gridCol w:w="109"/>
        <w:gridCol w:w="109"/>
        <w:gridCol w:w="109"/>
        <w:gridCol w:w="211"/>
        <w:gridCol w:w="657"/>
        <w:gridCol w:w="109"/>
        <w:gridCol w:w="109"/>
        <w:gridCol w:w="109"/>
        <w:gridCol w:w="109"/>
        <w:gridCol w:w="325"/>
        <w:gridCol w:w="331"/>
        <w:gridCol w:w="319"/>
      </w:tblGrid>
      <w:tr>
        <w:trPr/>
        <w:tc>
          <w:tcPr>
            <w:tcW w:w="1756" w:type="dxa"/>
            <w:tcBorders/>
            <w:vAlign w:val="center"/>
          </w:tcPr>
          <w:p>
            <w:pPr>
              <w:pStyle w:val="TableContents"/>
              <w:bidi w:val="0"/>
              <w:spacing w:before="0" w:after="283"/>
              <w:jc w:val="left"/>
              <w:rPr>
                <w:sz w:val="4"/>
                <w:szCs w:val="4"/>
              </w:rPr>
            </w:pPr>
            <w:r>
              <w:rPr>
                <w:sz w:val="4"/>
                <w:szCs w:val="4"/>
              </w:rPr>
            </w:r>
          </w:p>
        </w:tc>
        <w:tc>
          <w:tcPr>
            <w:tcW w:w="1283" w:type="dxa"/>
            <w:tcBorders/>
            <w:vAlign w:val="center"/>
          </w:tcPr>
          <w:p>
            <w:pPr>
              <w:pStyle w:val="TableContents"/>
              <w:bidi w:val="0"/>
              <w:spacing w:before="0" w:after="283"/>
              <w:jc w:val="left"/>
              <w:rPr>
                <w:sz w:val="4"/>
                <w:szCs w:val="4"/>
              </w:rPr>
            </w:pPr>
            <w:r>
              <w:rPr>
                <w:sz w:val="4"/>
                <w:szCs w:val="4"/>
              </w:rPr>
            </w:r>
          </w:p>
        </w:tc>
        <w:tc>
          <w:tcPr>
            <w:tcW w:w="129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5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5" w:type="dxa"/>
            <w:tcBorders/>
            <w:vAlign w:val="center"/>
          </w:tcPr>
          <w:p>
            <w:pPr>
              <w:pStyle w:val="TableContents"/>
              <w:bidi w:val="0"/>
              <w:spacing w:before="0" w:after="283"/>
              <w:jc w:val="left"/>
              <w:rPr>
                <w:sz w:val="4"/>
                <w:szCs w:val="4"/>
              </w:rPr>
            </w:pPr>
            <w:r>
              <w:rPr>
                <w:sz w:val="4"/>
                <w:szCs w:val="4"/>
              </w:rPr>
            </w:r>
          </w:p>
        </w:tc>
        <w:tc>
          <w:tcPr>
            <w:tcW w:w="331" w:type="dxa"/>
            <w:tcBorders/>
            <w:vAlign w:val="center"/>
          </w:tcPr>
          <w:p>
            <w:pPr>
              <w:pStyle w:val="TableContents"/>
              <w:bidi w:val="0"/>
              <w:spacing w:before="0" w:after="283"/>
              <w:jc w:val="left"/>
              <w:rPr>
                <w:sz w:val="4"/>
                <w:szCs w:val="4"/>
              </w:rPr>
            </w:pPr>
            <w:r>
              <w:rPr>
                <w:sz w:val="4"/>
                <w:szCs w:val="4"/>
              </w:rPr>
            </w:r>
          </w:p>
        </w:tc>
        <w:tc>
          <w:tcPr>
            <w:tcW w:w="319" w:type="dxa"/>
            <w:tcBorders/>
            <w:vAlign w:val="center"/>
          </w:tcPr>
          <w:p>
            <w:pPr>
              <w:pStyle w:val="TableContents"/>
              <w:bidi w:val="0"/>
              <w:spacing w:before="0" w:after="283"/>
              <w:jc w:val="left"/>
              <w:rPr>
                <w:sz w:val="4"/>
                <w:szCs w:val="4"/>
              </w:rPr>
            </w:pPr>
            <w:r>
              <w:rPr>
                <w:sz w:val="4"/>
                <w:szCs w:val="4"/>
              </w:rPr>
            </w:r>
          </w:p>
        </w:tc>
      </w:tr>
      <w:tr>
        <w:trPr/>
        <w:tc>
          <w:tcPr>
            <w:tcW w:w="4329"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43"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Fiscal Quarter Ended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Increase / (Decrease)</w:t>
            </w:r>
          </w:p>
        </w:tc>
      </w:tr>
      <w:tr>
        <w:trPr/>
        <w:tc>
          <w:tcPr>
            <w:tcW w:w="4329"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8" w:type="dxa"/>
            <w:gridSpan w:val="3"/>
            <w:vMerge w:val="restart"/>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September 30,</w:t>
              <w:b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8" w:type="dxa"/>
            <w:gridSpan w:val="3"/>
            <w:vMerge w:val="restart"/>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October 1,</w:t>
              <w:br/>
              <w:t>2024</w:t>
            </w:r>
          </w:p>
        </w:tc>
        <w:tc>
          <w:tcPr>
            <w:tcW w:w="327" w:type="dxa"/>
            <w:gridSpan w:val="3"/>
            <w:vMerge w:val="restart"/>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3"/>
            <w:vMerge w:val="restart"/>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5" w:type="dxa"/>
            <w:gridSpan w:val="3"/>
            <w:vMerge w:val="restart"/>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w:t>
            </w:r>
          </w:p>
        </w:tc>
      </w:tr>
      <w:tr>
        <w:trPr/>
        <w:tc>
          <w:tcPr>
            <w:tcW w:w="4329"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8" w:type="dxa"/>
            <w:gridSpan w:val="3"/>
            <w:vMerge w:val="continue"/>
            <w:tcBorders>
              <w:top w:val="single" w:sz="8" w:space="0" w:color="000000"/>
            </w:tcBorders>
            <w:tcMar>
              <w:top w:w="3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8" w:type="dxa"/>
            <w:gridSpan w:val="3"/>
            <w:vMerge w:val="continue"/>
            <w:tcBorders>
              <w:top w:val="single" w:sz="8" w:space="0" w:color="000000"/>
              <w:bottom w:val="single" w:sz="8" w:space="0" w:color="000000"/>
            </w:tcBorders>
            <w:tcMar>
              <w:top w:w="30" w:type="dxa"/>
              <w:left w:w="0" w:type="dxa"/>
              <w:bottom w:w="30" w:type="dxa"/>
              <w:right w:w="0" w:type="dxa"/>
            </w:tcMar>
            <w:vAlign w:val="center"/>
          </w:tcPr>
          <w:p>
            <w:pPr>
              <w:pStyle w:val="Normal"/>
              <w:bidi w:val="0"/>
              <w:jc w:val="left"/>
              <w:rPr/>
            </w:pPr>
            <w:r>
              <w:rPr/>
            </w:r>
          </w:p>
        </w:tc>
        <w:tc>
          <w:tcPr>
            <w:tcW w:w="327" w:type="dxa"/>
            <w:gridSpan w:val="3"/>
            <w:vMerge w:val="continue"/>
            <w:tcBorders/>
            <w:tcMar>
              <w:top w:w="0" w:type="dxa"/>
              <w:left w:w="0" w:type="dxa"/>
              <w:bottom w:w="0" w:type="dxa"/>
              <w:right w:w="0" w:type="dxa"/>
            </w:tcMar>
            <w:vAlign w:val="center"/>
          </w:tcPr>
          <w:p>
            <w:pPr>
              <w:pStyle w:val="Normal"/>
              <w:bidi w:val="0"/>
              <w:jc w:val="left"/>
              <w:rPr/>
            </w:pPr>
            <w:r>
              <w:rPr/>
            </w:r>
          </w:p>
        </w:tc>
        <w:tc>
          <w:tcPr>
            <w:tcW w:w="977" w:type="dxa"/>
            <w:gridSpan w:val="3"/>
            <w:vMerge w:val="continue"/>
            <w:tcBorders>
              <w:top w:val="single" w:sz="8" w:space="0" w:color="000000"/>
              <w:bottom w:val="single" w:sz="8" w:space="0" w:color="000000"/>
            </w:tcBorders>
            <w:tcMar>
              <w:top w:w="30" w:type="dxa"/>
              <w:left w:w="0" w:type="dxa"/>
              <w:bottom w:w="3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5" w:type="dxa"/>
            <w:gridSpan w:val="3"/>
            <w:vMerge w:val="continue"/>
            <w:tcBorders>
              <w:top w:val="single" w:sz="8" w:space="0" w:color="000000"/>
              <w:bottom w:val="single" w:sz="8" w:space="0" w:color="000000"/>
            </w:tcBorders>
            <w:tcMar>
              <w:top w:w="30" w:type="dxa"/>
              <w:left w:w="0" w:type="dxa"/>
              <w:bottom w:w="30" w:type="dxa"/>
              <w:right w:w="0" w:type="dxa"/>
            </w:tcMar>
            <w:vAlign w:val="center"/>
          </w:tcPr>
          <w:p>
            <w:pPr>
              <w:pStyle w:val="Normal"/>
              <w:bidi w:val="0"/>
              <w:jc w:val="left"/>
              <w:rPr/>
            </w:pPr>
            <w:r>
              <w:rPr/>
            </w:r>
          </w:p>
        </w:tc>
      </w:tr>
      <w:tr>
        <w:trPr/>
        <w:tc>
          <w:tcPr>
            <w:tcW w:w="4329"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49" w:type="dxa"/>
            <w:gridSpan w:val="21"/>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(in thousands, unaudited)</w:t>
            </w:r>
          </w:p>
        </w:tc>
      </w:tr>
      <w:tr>
        <w:trPr/>
        <w:tc>
          <w:tcPr>
            <w:tcW w:w="432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20"/>
              </w:rPr>
            </w:pPr>
            <w:r>
              <w:rPr>
                <w:rFonts w:ascii="Times New Roman;serif" w:hAnsi="Times New Roman;serif"/>
                <w:b w:val="false"/>
                <w:i/>
                <w:color w:val="000000"/>
                <w:sz w:val="20"/>
              </w:rPr>
              <w:t>Revenue: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8"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8"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5"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r>
      <w:tr>
        <w:trPr/>
        <w:tc>
          <w:tcPr>
            <w:tcW w:w="43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Restaurant revenue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119,579 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120,163 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5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(584)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(0.5)</w:t>
            </w:r>
          </w:p>
        </w:tc>
        <w:tc>
          <w:tcPr>
            <w:tcW w:w="31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43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Franchising royalties and fees, and other</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2,507 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2,588 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w:t>
            </w:r>
          </w:p>
        </w:tc>
        <w:tc>
          <w:tcPr>
            <w:tcW w:w="31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43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revenue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122,086 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122,751 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(665)</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(0.5)</w:t>
            </w:r>
          </w:p>
        </w:tc>
        <w:tc>
          <w:tcPr>
            <w:tcW w:w="31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43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20"/>
              </w:rPr>
            </w:pPr>
            <w:r>
              <w:rPr>
                <w:rFonts w:ascii="Times New Roman;serif" w:hAnsi="Times New Roman;serif"/>
                <w:b w:val="false"/>
                <w:i/>
                <w:color w:val="000000"/>
                <w:sz w:val="20"/>
              </w:rPr>
              <w:t>Costs and expenses: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r>
      <w:tr>
        <w:trPr/>
        <w:tc>
          <w:tcPr>
            <w:tcW w:w="4329"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270"/>
              <w:jc w:val="left"/>
              <w:rPr>
                <w:rFonts w:ascii="Times New Roman;serif" w:hAnsi="Times New Roman;serif"/>
                <w:b w:val="false"/>
                <w:color w:val="000000"/>
                <w:sz w:val="20"/>
              </w:rPr>
            </w:pPr>
            <w:r>
              <w:rPr>
                <w:rFonts w:ascii="Times New Roman;serif" w:hAnsi="Times New Roman;serif"/>
                <w:b w:val="false"/>
                <w:color w:val="000000"/>
                <w:sz w:val="20"/>
              </w:rPr>
              <w:t>Restaurant operating costs (exclusive of depreciation and amortization shown separately below):</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r>
      <w:tr>
        <w:trPr/>
        <w:tc>
          <w:tcPr>
            <w:tcW w:w="43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Cost of sales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30,709 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30,665 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0.1 </w:t>
            </w:r>
          </w:p>
        </w:tc>
        <w:tc>
          <w:tcPr>
            <w:tcW w:w="31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43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Labor</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37,499 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38,423 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(924)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w:t>
            </w:r>
          </w:p>
        </w:tc>
        <w:tc>
          <w:tcPr>
            <w:tcW w:w="31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43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Occupancy</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11,076 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11,543 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w:t>
            </w:r>
          </w:p>
        </w:tc>
        <w:tc>
          <w:tcPr>
            <w:tcW w:w="31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43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restaurant operating costs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24,558 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24,124 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1.8 </w:t>
            </w:r>
          </w:p>
        </w:tc>
        <w:tc>
          <w:tcPr>
            <w:tcW w:w="31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43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General and administrative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12,272 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12,892 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(620)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w:t>
            </w:r>
          </w:p>
        </w:tc>
        <w:tc>
          <w:tcPr>
            <w:tcW w:w="31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43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Depreciation and amortization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6,604 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7,248 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(644)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(8.9)</w:t>
            </w:r>
          </w:p>
        </w:tc>
        <w:tc>
          <w:tcPr>
            <w:tcW w:w="31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43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Pre-opening</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454 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(98.7)</w:t>
            </w:r>
          </w:p>
        </w:tc>
        <w:tc>
          <w:tcPr>
            <w:tcW w:w="31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43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Restaurant impairments, closure costs and asset disposals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5,681 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2,202 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3,479 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158.0 </w:t>
            </w:r>
          </w:p>
        </w:tc>
        <w:tc>
          <w:tcPr>
            <w:tcW w:w="31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43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costs and expenses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128,405 </w:t>
            </w:r>
          </w:p>
        </w:tc>
        <w:tc>
          <w:tcPr>
            <w:tcW w:w="27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127,551 </w:t>
            </w:r>
          </w:p>
        </w:tc>
        <w:tc>
          <w:tcPr>
            <w:tcW w:w="27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8"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854 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0.7 </w:t>
            </w:r>
          </w:p>
        </w:tc>
        <w:tc>
          <w:tcPr>
            <w:tcW w:w="319"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43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Loss from operations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(6,319)</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(4,800)</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(1,519)</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31.6 </w:t>
            </w:r>
          </w:p>
        </w:tc>
        <w:tc>
          <w:tcPr>
            <w:tcW w:w="31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432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7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75" w:type="dxa"/>
            <w:gridSpan w:val="3"/>
            <w:tcBorders/>
            <w:vAlign w:val="center"/>
          </w:tcPr>
          <w:p>
            <w:pPr>
              <w:pStyle w:val="TableContents"/>
              <w:bidi w:val="0"/>
              <w:spacing w:before="0" w:after="283"/>
              <w:jc w:val="left"/>
              <w:rPr>
                <w:sz w:val="4"/>
                <w:szCs w:val="4"/>
              </w:rPr>
            </w:pPr>
            <w:r>
              <w:rPr>
                <w:sz w:val="4"/>
                <w:szCs w:val="4"/>
              </w:rPr>
            </w:r>
          </w:p>
        </w:tc>
      </w:tr>
      <w:tr>
        <w:trPr/>
        <w:tc>
          <w:tcPr>
            <w:tcW w:w="43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expense, net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2,827 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2,082 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745 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35.8 </w:t>
            </w:r>
          </w:p>
        </w:tc>
        <w:tc>
          <w:tcPr>
            <w:tcW w:w="31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43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Loss before taxes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(9,146)</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(6,882)</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(2,264)</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32.9 </w:t>
            </w:r>
          </w:p>
        </w:tc>
        <w:tc>
          <w:tcPr>
            <w:tcW w:w="31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43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Provision for (benefit from) income taxes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(127)</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(103.9)</w:t>
            </w:r>
          </w:p>
        </w:tc>
        <w:tc>
          <w:tcPr>
            <w:tcW w:w="31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43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loss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(9,151)</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(6,755)</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5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(2,396)</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35.5 </w:t>
            </w:r>
          </w:p>
        </w:tc>
        <w:tc>
          <w:tcPr>
            <w:tcW w:w="31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43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Company-owned: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8"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8"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5"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Average unit volume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1,341 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1,272 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5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5.4 </w:t>
            </w:r>
          </w:p>
        </w:tc>
        <w:tc>
          <w:tcPr>
            <w:tcW w:w="31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43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Comparable restaurant sales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i/>
          <w:color w:val="000000"/>
          <w:sz w:val="20"/>
        </w:rPr>
      </w:pPr>
      <w:r>
        <w:rPr>
          <w:rFonts w:ascii="Times New Roman;serif" w:hAnsi="Times New Roman;serif"/>
          <w:b/>
          <w:i/>
          <w:color w:val="000000"/>
          <w:sz w:val="20"/>
        </w:rPr>
        <w:t>Revenue</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 xml:space="preserve">Total revenue decreased $0.7 million in the third quarter of 2025, or 0.5%, to $122.1 million, compared to $122.8 million in the third quarter of 2024. The decrease was primarily due to lower revenue of $5.0 million from permanent closures partially offset by $3.9 million of revenue growth in company comparable restaurant sales and a $0.4 million increase in new restaurant revenue. System-wide comparable restaurant sales increased 4.0% in the third quarter of 2025 compared to the same period of 2024, comprised of a 4.0% increase at company-owned restaurants and a 4.3% increase at franchise-owned restaurants. </w:t>
      </w:r>
    </w:p>
    <w:p>
      <w:pPr>
        <w:pStyle w:val="TextBody"/>
        <w:bidi w:val="0"/>
        <w:spacing w:before="0" w:after="0"/>
        <w:jc w:val="both"/>
        <w:rPr/>
      </w:pPr>
      <w:r>
        <w:rPr/>
      </w:r>
    </w:p>
    <w:p>
      <w:pPr>
        <w:pStyle w:val="TextBody"/>
        <w:bidi w:val="0"/>
        <w:spacing w:lineRule="auto" w:line="288" w:before="60" w:after="283"/>
        <w:jc w:val="both"/>
        <w:rPr>
          <w:rFonts w:ascii="Times New Roman;serif" w:hAnsi="Times New Roman;serif"/>
          <w:b/>
          <w:i/>
          <w:color w:val="000000"/>
          <w:sz w:val="20"/>
        </w:rPr>
      </w:pPr>
      <w:r>
        <w:rPr>
          <w:rFonts w:ascii="Times New Roman;serif" w:hAnsi="Times New Roman;serif"/>
          <w:b/>
          <w:i/>
          <w:color w:val="000000"/>
          <w:sz w:val="20"/>
        </w:rPr>
        <w:t>Cost of Sales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Cost of sales increased by 0.1%, in the third quarter of 2025 compared to the same period of 2024. As a percentage of restaurant revenue, cost of sales increased to 25.7% in the third quarter of 2025 compared to 25.5% in third quarter of 2024, primarily due to a 1.2% impact from a combination of menu investments, mix shifts, and inflation, which was mostly offset by a 0.5% menu price benefit and a 0.5% benefit from vendor rebates.</w:t>
      </w:r>
    </w:p>
    <w:p>
      <w:pPr>
        <w:pStyle w:val="TextBody"/>
        <w:bidi w:val="0"/>
        <w:spacing w:before="0" w:after="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4">
                <wp:simplePos x="0" y="0"/>
                <wp:positionH relativeFrom="character">
                  <wp:align>left</wp:align>
                </wp:positionH>
                <wp:positionV relativeFrom="line">
                  <wp:posOffset>635</wp:posOffset>
                </wp:positionV>
                <wp:extent cx="6480175" cy="146685"/>
                <wp:effectExtent l="0" t="0" r="0" b="0"/>
                <wp:wrapNone/>
                <wp:docPr id="23" name="Frame2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22</w:t>
                      </w:r>
                    </w:p>
                  </w:txbxContent>
                </v:textbox>
                <w10:wrap type="none"/>
              </v:rect>
            </w:pict>
          </mc:Fallback>
        </mc:AlternateContent>
      </w:r>
    </w:p>
    <w:p>
      <w:pPr>
        <w:pStyle w:val="TextBody"/>
        <w:bidi w:val="0"/>
        <w:spacing w:lineRule="auto" w:line="288" w:before="160" w:after="160"/>
        <w:jc w:val="left"/>
        <w:rPr/>
      </w:pPr>
      <w:hyperlink w:anchor="i0388035fcf6a4f6ca5f569f2895a7d6a_10">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jc w:val="both"/>
        <w:rPr>
          <w:rFonts w:ascii="Times New Roman;serif" w:hAnsi="Times New Roman;serif"/>
          <w:b/>
          <w:i/>
          <w:color w:val="000000"/>
          <w:sz w:val="20"/>
        </w:rPr>
      </w:pPr>
      <w:r>
        <w:rPr>
          <w:rFonts w:ascii="Times New Roman;serif" w:hAnsi="Times New Roman;serif"/>
          <w:b/>
          <w:i/>
          <w:color w:val="000000"/>
          <w:sz w:val="20"/>
        </w:rPr>
        <w:t>Labor Costs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Labor costs decreased by $0.9 million, or 2.4%, in the third quarter of 2025 compared to the same period of 2024. As a percentage of restaurant revenue, labor costs decreased to 31.4% in the third quarter of 2025 compared to 32.0% in the third quarter of 2024, primarily due to a 1.3% benefit from sales leverage partially offset by 0.7% of wage inflation.</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i/>
          <w:color w:val="000000"/>
          <w:sz w:val="20"/>
        </w:rPr>
      </w:pPr>
      <w:r>
        <w:rPr>
          <w:rFonts w:ascii="Times New Roman;serif" w:hAnsi="Times New Roman;serif"/>
          <w:b/>
          <w:i/>
          <w:color w:val="000000"/>
          <w:sz w:val="20"/>
        </w:rPr>
        <w:t>Occupancy Costs</w:t>
      </w:r>
    </w:p>
    <w:p>
      <w:pPr>
        <w:pStyle w:val="TextBody"/>
        <w:bidi w:val="0"/>
        <w:spacing w:before="0" w:after="0"/>
        <w:jc w:val="both"/>
        <w:rPr/>
      </w:pPr>
      <w:r>
        <w:rPr/>
      </w:r>
    </w:p>
    <w:p>
      <w:pPr>
        <w:pStyle w:val="TextBody"/>
        <w:bidi w:val="0"/>
        <w:spacing w:lineRule="auto" w:line="288" w:before="0" w:after="0"/>
        <w:jc w:val="both"/>
        <w:rPr/>
      </w:pPr>
      <w:r>
        <w:rPr>
          <w:rFonts w:ascii="Times New Roman;serif" w:hAnsi="Times New Roman;serif"/>
          <w:b w:val="false"/>
          <w:color w:val="000000"/>
          <w:sz w:val="20"/>
          <w:shd w:fill="FFFFFF" w:val="clear"/>
        </w:rPr>
        <w:t xml:space="preserve">Occupancy costs decreased by $0.5 million or </w:t>
      </w:r>
      <w:r>
        <w:rPr>
          <w:rFonts w:ascii="Times New Roman;serif" w:hAnsi="Times New Roman;serif"/>
          <w:b w:val="false"/>
          <w:color w:val="000000"/>
          <w:sz w:val="20"/>
        </w:rPr>
        <w:t>4.0%</w:t>
      </w:r>
      <w:r>
        <w:rPr>
          <w:color w:val="000000"/>
          <w:shd w:fill="FFFFFF" w:val="clear"/>
        </w:rPr>
        <w:t xml:space="preserve"> </w:t>
      </w:r>
      <w:r>
        <w:rPr>
          <w:rFonts w:ascii="Times New Roman;serif" w:hAnsi="Times New Roman;serif"/>
          <w:b w:val="false"/>
          <w:color w:val="000000"/>
          <w:sz w:val="20"/>
          <w:shd w:fill="FFFFFF" w:val="clear"/>
        </w:rPr>
        <w:t>in the third quarter of 2025 compared to the third quarter of 2024, primarily due to permanent restaurant closures. As a percentage of restaurant revenue, occupancy costs decreased to 9.3% in the third quarter of 2025 compared to 9.6% in the third quarter of 2024, primarily due to sales leverage.</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i/>
          <w:color w:val="000000"/>
          <w:sz w:val="20"/>
        </w:rPr>
      </w:pPr>
      <w:r>
        <w:rPr>
          <w:rFonts w:ascii="Times New Roman;serif" w:hAnsi="Times New Roman;serif"/>
          <w:b/>
          <w:i/>
          <w:color w:val="000000"/>
          <w:sz w:val="20"/>
        </w:rPr>
        <w:t>Other Restaurant Operating Costs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Other restaurant operating costs increased by $0.4 million, or 1.8%, in the third quarter of 2025 compared to the third quarter of 2024. As a percentage of restaurant revenue, other restaurant operating costs increased to 20.5% in the third quarter of 2025 compared to 20.1% in the third quarter of 2024, primarily due to a 0.4% impact from higher delivery fees driven by higher delivery sales, 0.3% from higher utility costs and 0.2% from increased marketing spend, partially offset by 0.5% of sales leverage.</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i/>
          <w:color w:val="000000"/>
          <w:sz w:val="20"/>
        </w:rPr>
      </w:pPr>
      <w:r>
        <w:rPr>
          <w:rFonts w:ascii="Times New Roman;serif" w:hAnsi="Times New Roman;serif"/>
          <w:b/>
          <w:i/>
          <w:color w:val="000000"/>
          <w:sz w:val="20"/>
        </w:rPr>
        <w:t>General and Administrative Expense</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General and administrative expense decreased by $0.6 million, or 4.8%, in the third quarter of 2025 compared to the third quarter of 2024, primarily due to a $0.6 million decrease in expenses related to our annual summit and a $0.4 million decline in obsolete inventory costs, partially offset by a $0.3 million increase in stock based compensation. As a percentage of revenue, general and administrative expense decreased to 10.1% in the third quarter of 2025 from 10.5% in the third quarter of 2024.</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i/>
          <w:color w:val="000000"/>
          <w:sz w:val="20"/>
        </w:rPr>
      </w:pPr>
      <w:r>
        <w:rPr>
          <w:rFonts w:ascii="Times New Roman;serif" w:hAnsi="Times New Roman;serif"/>
          <w:b/>
          <w:i/>
          <w:color w:val="000000"/>
          <w:sz w:val="20"/>
        </w:rPr>
        <w:t>Depreciation and Amortization</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Depreciation and amortization decreased by $0.6 million, or 8.9%, in the third quarter of 2025 compared to the third quarter of 2024, primarily due to restaurant closures since the third quarter of 2024.</w:t>
      </w:r>
    </w:p>
    <w:p>
      <w:pPr>
        <w:pStyle w:val="TextBody"/>
        <w:bidi w:val="0"/>
        <w:spacing w:before="0" w:after="0"/>
        <w:jc w:val="left"/>
        <w:rPr/>
      </w:pPr>
      <w:r>
        <w:rPr/>
      </w:r>
    </w:p>
    <w:p>
      <w:pPr>
        <w:pStyle w:val="TextBody"/>
        <w:bidi w:val="0"/>
        <w:spacing w:lineRule="auto" w:line="288" w:before="0" w:after="0"/>
        <w:jc w:val="both"/>
        <w:rPr>
          <w:rFonts w:ascii="Times New Roman;serif" w:hAnsi="Times New Roman;serif"/>
          <w:b/>
          <w:i/>
          <w:color w:val="000000"/>
          <w:sz w:val="20"/>
        </w:rPr>
      </w:pPr>
      <w:r>
        <w:rPr>
          <w:rFonts w:ascii="Times New Roman;serif" w:hAnsi="Times New Roman;serif"/>
          <w:b/>
          <w:i/>
          <w:color w:val="000000"/>
          <w:sz w:val="20"/>
        </w:rPr>
        <w:t>Restaurant Impairments, Closure Costs and Asset Disposals</w:t>
      </w:r>
    </w:p>
    <w:p>
      <w:pPr>
        <w:pStyle w:val="TextBody"/>
        <w:bidi w:val="0"/>
        <w:spacing w:before="0" w:after="0"/>
        <w:jc w:val="both"/>
        <w:rPr/>
      </w:pPr>
      <w:r>
        <w:rPr/>
      </w:r>
    </w:p>
    <w:p>
      <w:pPr>
        <w:pStyle w:val="TextBody"/>
        <w:bidi w:val="0"/>
        <w:spacing w:lineRule="auto" w:line="288" w:before="0" w:after="0"/>
        <w:jc w:val="both"/>
        <w:rPr/>
      </w:pPr>
      <w:r>
        <w:rPr>
          <w:rFonts w:ascii="Times New Roman;serif" w:hAnsi="Times New Roman;serif"/>
          <w:b w:val="false"/>
          <w:color w:val="000000"/>
          <w:sz w:val="20"/>
          <w:shd w:fill="FFFFFF" w:val="clear"/>
        </w:rPr>
        <w:t xml:space="preserve">Restaurant impairments, closure costs and asset disposals increased $3.5 million to $5.7 million in the third quarter of 2025 compared to </w:t>
      </w:r>
      <w:r>
        <w:rPr>
          <w:rFonts w:ascii="Times New Roman;serif" w:hAnsi="Times New Roman;serif"/>
          <w:b w:val="false"/>
          <w:color w:val="000000"/>
          <w:sz w:val="20"/>
        </w:rPr>
        <w:t>$2.2 million</w:t>
      </w:r>
      <w:r>
        <w:rPr>
          <w:color w:val="000000"/>
          <w:shd w:fill="FFFFFF" w:val="clear"/>
        </w:rPr>
        <w:t xml:space="preserve"> </w:t>
      </w:r>
      <w:r>
        <w:rPr>
          <w:rFonts w:ascii="Times New Roman;serif" w:hAnsi="Times New Roman;serif"/>
          <w:b w:val="false"/>
          <w:color w:val="000000"/>
          <w:sz w:val="20"/>
          <w:shd w:fill="FFFFFF" w:val="clear"/>
        </w:rPr>
        <w:t>the third quarter of 2024. We recorded fixed asset impairment on nine restaurants and wrote down lease related assets on nine restaurants during the third quarter of 2025. In the third quarter of 2024, we did not record any fixed asset impairment. In the third quarter of 2024, we wrote down lease related assets on one restaurant.</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i/>
          <w:color w:val="000000"/>
          <w:sz w:val="20"/>
        </w:rPr>
      </w:pPr>
      <w:r>
        <w:rPr>
          <w:rFonts w:ascii="Times New Roman;serif" w:hAnsi="Times New Roman;serif"/>
          <w:b/>
          <w:i/>
          <w:color w:val="000000"/>
          <w:sz w:val="20"/>
        </w:rPr>
        <w:t>Interest Expense, Net</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 xml:space="preserve">Interest expense, net increased $0.7 million in the third quarter of 2025 compared to the third quarter of 2024, primarily due to higher average debt balances in the third quarter of 2025 as compared to the third quarter of 2024. </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i/>
          <w:color w:val="000000"/>
          <w:sz w:val="20"/>
        </w:rPr>
      </w:pPr>
      <w:r>
        <w:rPr>
          <w:rFonts w:ascii="Times New Roman;serif" w:hAnsi="Times New Roman;serif"/>
          <w:b/>
          <w:i/>
          <w:color w:val="000000"/>
          <w:sz w:val="20"/>
        </w:rPr>
        <w:t>Provision for Income Taxes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The effective tax rate for the third quarter of 2025 and for the third quarter of 2024 reflect the impact of the previously recorded valuation allowance. The primary components of the provision for income tax (for both quarters) are related to state tax and the change in our valuation allowance. For the remainder of fiscal 2025, we do not anticipate material income tax expense or benefit as a result of the valuation allowance recorded. We will maintain a valuation allowance against deferred tax assets until there is sufficient evidence to support a full or partial reversal. The reversal of a previously recorded valuation allowance will generally result in a benefit from income tax.</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5">
                <wp:simplePos x="0" y="0"/>
                <wp:positionH relativeFrom="character">
                  <wp:align>left</wp:align>
                </wp:positionH>
                <wp:positionV relativeFrom="line">
                  <wp:posOffset>635</wp:posOffset>
                </wp:positionV>
                <wp:extent cx="6480175" cy="146685"/>
                <wp:effectExtent l="0" t="0" r="0" b="0"/>
                <wp:wrapNone/>
                <wp:docPr id="24" name="Frame2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23</w:t>
                      </w:r>
                    </w:p>
                  </w:txbxContent>
                </v:textbox>
                <w10:wrap type="none"/>
              </v:rect>
            </w:pict>
          </mc:Fallback>
        </mc:AlternateContent>
      </w:r>
    </w:p>
    <w:p>
      <w:pPr>
        <w:pStyle w:val="TextBody"/>
        <w:bidi w:val="0"/>
        <w:spacing w:lineRule="auto" w:line="288" w:before="160" w:after="160"/>
        <w:jc w:val="left"/>
        <w:rPr/>
      </w:pPr>
      <w:hyperlink w:anchor="i0388035fcf6a4f6ca5f569f2895a7d6a_10">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jc w:val="left"/>
        <w:rPr>
          <w:rFonts w:ascii="Times New Roman;serif" w:hAnsi="Times New Roman;serif"/>
          <w:b/>
          <w:color w:val="000000"/>
          <w:sz w:val="20"/>
          <w:shd w:fill="FFFFFF" w:val="clear"/>
        </w:rPr>
      </w:pPr>
      <w:r>
        <w:rPr>
          <w:rFonts w:ascii="Times New Roman;serif" w:hAnsi="Times New Roman;serif"/>
          <w:b/>
          <w:color w:val="000000"/>
          <w:sz w:val="20"/>
          <w:shd w:fill="FFFFFF" w:val="clear"/>
        </w:rPr>
        <w:t xml:space="preserve">Three Quarters Ended September 30, 2025 Compared to Three Quarters Ended October 1, 2024 </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The table below presents our unaudited operating results for the first three quarters of 2025 and 2024, and the related period-over-period changes. </w:t>
      </w:r>
    </w:p>
    <w:tbl>
      <w:tblPr>
        <w:tblW w:w="10205" w:type="dxa"/>
        <w:jc w:val="left"/>
        <w:tblInd w:w="0" w:type="dxa"/>
        <w:tblLayout w:type="fixed"/>
        <w:tblCellMar>
          <w:top w:w="28" w:type="dxa"/>
          <w:left w:w="28" w:type="dxa"/>
          <w:bottom w:w="28" w:type="dxa"/>
          <w:right w:w="28" w:type="dxa"/>
        </w:tblCellMar>
      </w:tblPr>
      <w:tblGrid>
        <w:gridCol w:w="1788"/>
        <w:gridCol w:w="1319"/>
        <w:gridCol w:w="1326"/>
        <w:gridCol w:w="109"/>
        <w:gridCol w:w="109"/>
        <w:gridCol w:w="109"/>
        <w:gridCol w:w="211"/>
        <w:gridCol w:w="826"/>
        <w:gridCol w:w="271"/>
        <w:gridCol w:w="109"/>
        <w:gridCol w:w="109"/>
        <w:gridCol w:w="109"/>
        <w:gridCol w:w="211"/>
        <w:gridCol w:w="826"/>
        <w:gridCol w:w="271"/>
        <w:gridCol w:w="109"/>
        <w:gridCol w:w="109"/>
        <w:gridCol w:w="109"/>
        <w:gridCol w:w="211"/>
        <w:gridCol w:w="658"/>
        <w:gridCol w:w="109"/>
        <w:gridCol w:w="109"/>
        <w:gridCol w:w="109"/>
        <w:gridCol w:w="109"/>
        <w:gridCol w:w="275"/>
        <w:gridCol w:w="277"/>
        <w:gridCol w:w="318"/>
      </w:tblGrid>
      <w:tr>
        <w:trPr/>
        <w:tc>
          <w:tcPr>
            <w:tcW w:w="1788" w:type="dxa"/>
            <w:tcBorders/>
            <w:vAlign w:val="center"/>
          </w:tcPr>
          <w:p>
            <w:pPr>
              <w:pStyle w:val="TableContents"/>
              <w:bidi w:val="0"/>
              <w:spacing w:before="0" w:after="283"/>
              <w:jc w:val="left"/>
              <w:rPr>
                <w:sz w:val="4"/>
                <w:szCs w:val="4"/>
              </w:rPr>
            </w:pPr>
            <w:r>
              <w:rPr>
                <w:sz w:val="4"/>
                <w:szCs w:val="4"/>
              </w:rPr>
            </w:r>
          </w:p>
        </w:tc>
        <w:tc>
          <w:tcPr>
            <w:tcW w:w="1319" w:type="dxa"/>
            <w:tcBorders/>
            <w:vAlign w:val="center"/>
          </w:tcPr>
          <w:p>
            <w:pPr>
              <w:pStyle w:val="TableContents"/>
              <w:bidi w:val="0"/>
              <w:spacing w:before="0" w:after="283"/>
              <w:jc w:val="left"/>
              <w:rPr>
                <w:sz w:val="4"/>
                <w:szCs w:val="4"/>
              </w:rPr>
            </w:pPr>
            <w:r>
              <w:rPr>
                <w:sz w:val="4"/>
                <w:szCs w:val="4"/>
              </w:rPr>
            </w:r>
          </w:p>
        </w:tc>
        <w:tc>
          <w:tcPr>
            <w:tcW w:w="13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5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277" w:type="dxa"/>
            <w:tcBorders/>
            <w:vAlign w:val="center"/>
          </w:tcPr>
          <w:p>
            <w:pPr>
              <w:pStyle w:val="TableContents"/>
              <w:bidi w:val="0"/>
              <w:spacing w:before="0" w:after="283"/>
              <w:jc w:val="left"/>
              <w:rPr>
                <w:sz w:val="4"/>
                <w:szCs w:val="4"/>
              </w:rPr>
            </w:pPr>
            <w:r>
              <w:rPr>
                <w:sz w:val="4"/>
                <w:szCs w:val="4"/>
              </w:rPr>
            </w:r>
          </w:p>
        </w:tc>
        <w:tc>
          <w:tcPr>
            <w:tcW w:w="318" w:type="dxa"/>
            <w:tcBorders/>
            <w:vAlign w:val="center"/>
          </w:tcPr>
          <w:p>
            <w:pPr>
              <w:pStyle w:val="TableContents"/>
              <w:bidi w:val="0"/>
              <w:spacing w:before="0" w:after="283"/>
              <w:jc w:val="left"/>
              <w:rPr>
                <w:sz w:val="4"/>
                <w:szCs w:val="4"/>
              </w:rPr>
            </w:pPr>
            <w:r>
              <w:rPr>
                <w:sz w:val="4"/>
                <w:szCs w:val="4"/>
              </w:rPr>
            </w:r>
          </w:p>
        </w:tc>
      </w:tr>
      <w:tr>
        <w:trPr/>
        <w:tc>
          <w:tcPr>
            <w:tcW w:w="4433"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43"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Three Fiscal Quarters Ended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7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Increase / (Decrease)</w:t>
            </w:r>
          </w:p>
        </w:tc>
      </w:tr>
      <w:tr>
        <w:trPr/>
        <w:tc>
          <w:tcPr>
            <w:tcW w:w="4433"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8" w:type="dxa"/>
            <w:gridSpan w:val="3"/>
            <w:vMerge w:val="restart"/>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September 30,</w:t>
              <w:b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8" w:type="dxa"/>
            <w:gridSpan w:val="3"/>
            <w:vMerge w:val="restart"/>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October 1,</w:t>
              <w:br/>
              <w:t>2024</w:t>
            </w:r>
          </w:p>
        </w:tc>
        <w:tc>
          <w:tcPr>
            <w:tcW w:w="327" w:type="dxa"/>
            <w:gridSpan w:val="3"/>
            <w:vMerge w:val="restart"/>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3"/>
            <w:vMerge w:val="restart"/>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0" w:type="dxa"/>
            <w:gridSpan w:val="3"/>
            <w:vMerge w:val="restart"/>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w:t>
            </w:r>
          </w:p>
        </w:tc>
      </w:tr>
      <w:tr>
        <w:trPr/>
        <w:tc>
          <w:tcPr>
            <w:tcW w:w="4433"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8" w:type="dxa"/>
            <w:gridSpan w:val="3"/>
            <w:vMerge w:val="continue"/>
            <w:tcBorders>
              <w:top w:val="single" w:sz="8" w:space="0" w:color="000000"/>
            </w:tcBorders>
            <w:tcMar>
              <w:top w:w="3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8" w:type="dxa"/>
            <w:gridSpan w:val="3"/>
            <w:vMerge w:val="continue"/>
            <w:tcBorders>
              <w:top w:val="single" w:sz="8" w:space="0" w:color="000000"/>
              <w:bottom w:val="single" w:sz="8" w:space="0" w:color="000000"/>
            </w:tcBorders>
            <w:tcMar>
              <w:top w:w="30" w:type="dxa"/>
              <w:left w:w="0" w:type="dxa"/>
              <w:bottom w:w="30" w:type="dxa"/>
              <w:right w:w="0" w:type="dxa"/>
            </w:tcMar>
            <w:vAlign w:val="center"/>
          </w:tcPr>
          <w:p>
            <w:pPr>
              <w:pStyle w:val="Normal"/>
              <w:bidi w:val="0"/>
              <w:jc w:val="left"/>
              <w:rPr/>
            </w:pPr>
            <w:r>
              <w:rPr/>
            </w:r>
          </w:p>
        </w:tc>
        <w:tc>
          <w:tcPr>
            <w:tcW w:w="327" w:type="dxa"/>
            <w:gridSpan w:val="3"/>
            <w:vMerge w:val="continue"/>
            <w:tcBorders/>
            <w:tcMar>
              <w:top w:w="0" w:type="dxa"/>
              <w:left w:w="0" w:type="dxa"/>
              <w:bottom w:w="0" w:type="dxa"/>
              <w:right w:w="0" w:type="dxa"/>
            </w:tcMar>
            <w:vAlign w:val="center"/>
          </w:tcPr>
          <w:p>
            <w:pPr>
              <w:pStyle w:val="Normal"/>
              <w:bidi w:val="0"/>
              <w:jc w:val="left"/>
              <w:rPr/>
            </w:pPr>
            <w:r>
              <w:rPr/>
            </w:r>
          </w:p>
        </w:tc>
        <w:tc>
          <w:tcPr>
            <w:tcW w:w="978" w:type="dxa"/>
            <w:gridSpan w:val="3"/>
            <w:vMerge w:val="continue"/>
            <w:tcBorders>
              <w:top w:val="single" w:sz="8" w:space="0" w:color="000000"/>
              <w:bottom w:val="single" w:sz="8" w:space="0" w:color="000000"/>
            </w:tcBorders>
            <w:tcMar>
              <w:top w:w="30" w:type="dxa"/>
              <w:left w:w="0" w:type="dxa"/>
              <w:bottom w:w="3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0" w:type="dxa"/>
            <w:gridSpan w:val="3"/>
            <w:vMerge w:val="continue"/>
            <w:tcBorders>
              <w:top w:val="single" w:sz="8" w:space="0" w:color="000000"/>
              <w:bottom w:val="single" w:sz="8" w:space="0" w:color="000000"/>
            </w:tcBorders>
            <w:tcMar>
              <w:top w:w="30" w:type="dxa"/>
              <w:left w:w="0" w:type="dxa"/>
              <w:bottom w:w="30" w:type="dxa"/>
              <w:right w:w="0" w:type="dxa"/>
            </w:tcMar>
            <w:vAlign w:val="center"/>
          </w:tcPr>
          <w:p>
            <w:pPr>
              <w:pStyle w:val="Normal"/>
              <w:bidi w:val="0"/>
              <w:jc w:val="left"/>
              <w:rPr/>
            </w:pPr>
            <w:r>
              <w:rPr/>
            </w:r>
          </w:p>
        </w:tc>
      </w:tr>
      <w:tr>
        <w:trPr/>
        <w:tc>
          <w:tcPr>
            <w:tcW w:w="4433"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45" w:type="dxa"/>
            <w:gridSpan w:val="21"/>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(in thousands, except percentages)</w:t>
            </w:r>
          </w:p>
        </w:tc>
      </w:tr>
      <w:tr>
        <w:trPr/>
        <w:tc>
          <w:tcPr>
            <w:tcW w:w="443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20"/>
              </w:rPr>
            </w:pPr>
            <w:r>
              <w:rPr>
                <w:rFonts w:ascii="Times New Roman;serif" w:hAnsi="Times New Roman;serif"/>
                <w:b w:val="false"/>
                <w:i/>
                <w:color w:val="000000"/>
                <w:sz w:val="20"/>
              </w:rPr>
              <w:t>Revenue: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8"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8"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0"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r>
      <w:tr>
        <w:trPr/>
        <w:tc>
          <w:tcPr>
            <w:tcW w:w="443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Restaurant revenue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364,686 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363,897 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5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789 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0.2 </w:t>
            </w:r>
          </w:p>
        </w:tc>
        <w:tc>
          <w:tcPr>
            <w:tcW w:w="31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443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Franchising royalties and fees, and other</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7,627 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7,600 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0.4 </w:t>
            </w:r>
          </w:p>
        </w:tc>
        <w:tc>
          <w:tcPr>
            <w:tcW w:w="31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443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revenue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372,313 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371,497 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9"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816 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0.2 </w:t>
            </w:r>
          </w:p>
        </w:tc>
        <w:tc>
          <w:tcPr>
            <w:tcW w:w="31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443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20"/>
              </w:rPr>
            </w:pPr>
            <w:r>
              <w:rPr>
                <w:rFonts w:ascii="Times New Roman;serif" w:hAnsi="Times New Roman;serif"/>
                <w:b w:val="false"/>
                <w:i/>
                <w:color w:val="000000"/>
                <w:sz w:val="20"/>
              </w:rPr>
              <w:t>Costs and expenses: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r>
      <w:tr>
        <w:trPr/>
        <w:tc>
          <w:tcPr>
            <w:tcW w:w="4433"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270"/>
              <w:jc w:val="left"/>
              <w:rPr>
                <w:rFonts w:ascii="Times New Roman;serif" w:hAnsi="Times New Roman;serif"/>
                <w:b w:val="false"/>
                <w:color w:val="000000"/>
                <w:sz w:val="20"/>
              </w:rPr>
            </w:pPr>
            <w:r>
              <w:rPr>
                <w:rFonts w:ascii="Times New Roman;serif" w:hAnsi="Times New Roman;serif"/>
                <w:b w:val="false"/>
                <w:color w:val="000000"/>
                <w:sz w:val="20"/>
              </w:rPr>
              <w:t>Restaurant operating costs (exclusive of depreciation and amortization shown separately below):</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r>
      <w:tr>
        <w:trPr/>
        <w:tc>
          <w:tcPr>
            <w:tcW w:w="443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Cost of sales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95,862 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91,223 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4,639 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5.1 </w:t>
            </w:r>
          </w:p>
        </w:tc>
        <w:tc>
          <w:tcPr>
            <w:tcW w:w="31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443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Labor</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116,174 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115,791 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0.3 </w:t>
            </w:r>
          </w:p>
        </w:tc>
        <w:tc>
          <w:tcPr>
            <w:tcW w:w="31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443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Occupancy</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33,963 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34,985 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(1,022)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w:t>
            </w:r>
          </w:p>
        </w:tc>
        <w:tc>
          <w:tcPr>
            <w:tcW w:w="31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443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restaurant operating costs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74,628 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71,514 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3,114 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4.4 </w:t>
            </w:r>
          </w:p>
        </w:tc>
        <w:tc>
          <w:tcPr>
            <w:tcW w:w="31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443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General and administrative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37,486 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39,503 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(2,017)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w:t>
            </w:r>
          </w:p>
        </w:tc>
        <w:tc>
          <w:tcPr>
            <w:tcW w:w="31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443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Depreciation and amortization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20,833 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21,985 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(1,152)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(5.2)</w:t>
            </w:r>
          </w:p>
        </w:tc>
        <w:tc>
          <w:tcPr>
            <w:tcW w:w="31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443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Pre-opening</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226 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1,422 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(1,196)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(84.1)</w:t>
            </w:r>
          </w:p>
        </w:tc>
        <w:tc>
          <w:tcPr>
            <w:tcW w:w="31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443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Restaurant impairments, closure costs and asset disposals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20,625 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15,488 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5,137 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33.2 </w:t>
            </w:r>
          </w:p>
        </w:tc>
        <w:tc>
          <w:tcPr>
            <w:tcW w:w="31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443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costs and expenses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399,797 </w:t>
            </w:r>
          </w:p>
        </w:tc>
        <w:tc>
          <w:tcPr>
            <w:tcW w:w="27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391,911 </w:t>
            </w:r>
          </w:p>
        </w:tc>
        <w:tc>
          <w:tcPr>
            <w:tcW w:w="27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9"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7,886 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2.0 </w:t>
            </w:r>
          </w:p>
        </w:tc>
        <w:tc>
          <w:tcPr>
            <w:tcW w:w="318"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443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Loss from operations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(27,484)</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(20,414)</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9"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(7,070)</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34.6 </w:t>
            </w:r>
          </w:p>
        </w:tc>
        <w:tc>
          <w:tcPr>
            <w:tcW w:w="31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443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7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0" w:type="dxa"/>
            <w:gridSpan w:val="3"/>
            <w:tcBorders/>
            <w:vAlign w:val="center"/>
          </w:tcPr>
          <w:p>
            <w:pPr>
              <w:pStyle w:val="TableContents"/>
              <w:bidi w:val="0"/>
              <w:spacing w:before="0" w:after="283"/>
              <w:jc w:val="left"/>
              <w:rPr>
                <w:sz w:val="4"/>
                <w:szCs w:val="4"/>
              </w:rPr>
            </w:pPr>
            <w:r>
              <w:rPr>
                <w:sz w:val="4"/>
                <w:szCs w:val="4"/>
              </w:rPr>
            </w:r>
          </w:p>
        </w:tc>
      </w:tr>
      <w:tr>
        <w:trPr/>
        <w:tc>
          <w:tcPr>
            <w:tcW w:w="443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expense, net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8,227 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6,058 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2,169 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35.8 </w:t>
            </w:r>
          </w:p>
        </w:tc>
        <w:tc>
          <w:tcPr>
            <w:tcW w:w="31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443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Loss before taxes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(35,711)</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(26,472)</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9"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(9,239)</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34.9 </w:t>
            </w:r>
          </w:p>
        </w:tc>
        <w:tc>
          <w:tcPr>
            <w:tcW w:w="31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443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Provision for income taxes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49 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2.1 </w:t>
            </w:r>
          </w:p>
        </w:tc>
        <w:tc>
          <w:tcPr>
            <w:tcW w:w="31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443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loss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(35,760)</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(26,520)</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5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(9,240)</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34.8 </w:t>
            </w:r>
          </w:p>
        </w:tc>
        <w:tc>
          <w:tcPr>
            <w:tcW w:w="31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443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Company-owned: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8"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8"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0"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3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Average unit volumes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1,336 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1,282 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5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4.2 </w:t>
            </w:r>
          </w:p>
        </w:tc>
        <w:tc>
          <w:tcPr>
            <w:tcW w:w="31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443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Comparable restaurant sales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288" w:before="0" w:after="0"/>
        <w:jc w:val="both"/>
        <w:rPr>
          <w:rFonts w:ascii="Times New Roman;serif" w:hAnsi="Times New Roman;serif"/>
          <w:b/>
          <w:i/>
          <w:color w:val="000000"/>
          <w:sz w:val="20"/>
        </w:rPr>
      </w:pPr>
      <w:r>
        <w:rPr>
          <w:rFonts w:ascii="Times New Roman;serif" w:hAnsi="Times New Roman;serif"/>
          <w:b/>
          <w:i/>
          <w:color w:val="000000"/>
          <w:sz w:val="20"/>
        </w:rPr>
        <w:t>Revenue</w:t>
      </w:r>
    </w:p>
    <w:p>
      <w:pPr>
        <w:pStyle w:val="TextBody"/>
        <w:bidi w:val="0"/>
        <w:spacing w:before="0" w:after="0"/>
        <w:jc w:val="both"/>
        <w:rPr/>
      </w:pPr>
      <w:r>
        <w:rPr/>
      </w:r>
    </w:p>
    <w:p>
      <w:pPr>
        <w:pStyle w:val="TextBody"/>
        <w:bidi w:val="0"/>
        <w:spacing w:lineRule="auto" w:line="288" w:before="0" w:after="0"/>
        <w:jc w:val="both"/>
        <w:rPr/>
      </w:pPr>
      <w:r>
        <w:rPr>
          <w:rFonts w:ascii="Times New Roman;serif" w:hAnsi="Times New Roman;serif"/>
          <w:b w:val="false"/>
          <w:color w:val="000000"/>
          <w:sz w:val="20"/>
        </w:rPr>
        <w:t>Total revenue increased</w:t>
      </w:r>
      <w:r>
        <w:rPr>
          <w:color w:val="000000"/>
          <w:shd w:fill="FFFFFF" w:val="clear"/>
        </w:rPr>
        <w:t xml:space="preserve"> </w:t>
      </w:r>
      <w:r>
        <w:rPr>
          <w:rFonts w:ascii="Times New Roman;serif" w:hAnsi="Times New Roman;serif"/>
          <w:b w:val="false"/>
          <w:color w:val="000000"/>
          <w:sz w:val="20"/>
          <w:shd w:fill="FFFFFF" w:val="clear"/>
        </w:rPr>
        <w:t xml:space="preserve">by $0.8 million, or 0.2%, in the first three quarters of 2025 to $372.3 million compared to $371.5 million in the same period of 2024. The increase was primarily due to a $10.7 million increase in company comparable restaurant sales and a $3.9 million increase from new restaurant revenue, mostly offset by $11.3 million from permanent restaurant closures and $2.5 million from refranchising the six company-owned restaurants in the Oregon market as part of the DND Sale. Comparable restaurant sales increased 3.3% system-wide in the first three quarters of 2025 compared to the first three quarters of 2024, comprised of a 3.3% increase at company-owned restaurants and a 2.9% increase at franchise-owned restaurants. </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i/>
          <w:color w:val="000000"/>
          <w:sz w:val="20"/>
        </w:rPr>
      </w:pPr>
      <w:r>
        <w:rPr>
          <w:rFonts w:ascii="Times New Roman;serif" w:hAnsi="Times New Roman;serif"/>
          <w:b/>
          <w:i/>
          <w:color w:val="000000"/>
          <w:sz w:val="20"/>
        </w:rPr>
        <w:t>Cost of Sales</w:t>
      </w:r>
    </w:p>
    <w:p>
      <w:pPr>
        <w:pStyle w:val="TextBody"/>
        <w:bidi w:val="0"/>
        <w:spacing w:before="0" w:after="0"/>
        <w:jc w:val="both"/>
        <w:rPr/>
      </w:pPr>
      <w:r>
        <w:rPr/>
      </w:r>
    </w:p>
    <w:p>
      <w:pPr>
        <w:pStyle w:val="TextBody"/>
        <w:bidi w:val="0"/>
        <w:spacing w:lineRule="auto" w:line="288" w:before="0" w:after="0"/>
        <w:jc w:val="both"/>
        <w:rPr/>
      </w:pPr>
      <w:r>
        <w:rPr>
          <w:rFonts w:ascii="Times New Roman;serif" w:hAnsi="Times New Roman;serif"/>
          <w:b w:val="false"/>
          <w:color w:val="000000"/>
          <w:sz w:val="20"/>
          <w:shd w:fill="FFFFFF" w:val="clear"/>
        </w:rPr>
        <w:t xml:space="preserve">Cost of sales increased by $4.6 million, or 5.1%, in the first three quarters of 2025 compared to the same period of 2024. As a percentage of restaurant revenue, cost of sales </w:t>
      </w:r>
      <w:r>
        <w:rPr>
          <w:rFonts w:ascii="Times New Roman;serif" w:hAnsi="Times New Roman;serif"/>
          <w:b w:val="false"/>
          <w:color w:val="000000"/>
          <w:sz w:val="20"/>
        </w:rPr>
        <w:t xml:space="preserve">increased </w:t>
      </w:r>
      <w:r>
        <w:rPr>
          <w:rFonts w:ascii="Times New Roman;serif" w:hAnsi="Times New Roman;serif"/>
          <w:b w:val="false"/>
          <w:color w:val="000000"/>
          <w:sz w:val="20"/>
          <w:shd w:fill="FFFFFF" w:val="clear"/>
        </w:rPr>
        <w:t xml:space="preserve">to 26.3% in the first three quarters of 2025 compared to </w:t>
      </w:r>
      <w:r>
        <w:rPr>
          <w:rFonts w:ascii="Times New Roman;serif" w:hAnsi="Times New Roman;serif"/>
          <w:b w:val="false"/>
          <w:color w:val="000000"/>
          <w:sz w:val="20"/>
        </w:rPr>
        <w:t>25.1%</w:t>
      </w:r>
      <w:r>
        <w:rPr>
          <w:color w:val="000000"/>
          <w:shd w:fill="FFFFFF" w:val="clear"/>
        </w:rPr>
        <w:t xml:space="preserve"> </w:t>
      </w:r>
      <w:r>
        <w:rPr>
          <w:rFonts w:ascii="Times New Roman;serif" w:hAnsi="Times New Roman;serif"/>
          <w:b w:val="false"/>
          <w:color w:val="000000"/>
          <w:sz w:val="20"/>
          <w:shd w:fill="FFFFFF" w:val="clear"/>
        </w:rPr>
        <w:t>in the first three quarters of 2024, primarily due to 1.7% impact from a combination of menu investments, mix shifts, and inflation, which was partially offset by a 0.5% benefit from a combination of menu price benefit and vendor rebates.</w:t>
      </w:r>
    </w:p>
    <w:p>
      <w:pPr>
        <w:pStyle w:val="TextBody"/>
        <w:bidi w:val="0"/>
        <w:spacing w:before="0" w:after="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6">
                <wp:simplePos x="0" y="0"/>
                <wp:positionH relativeFrom="character">
                  <wp:align>left</wp:align>
                </wp:positionH>
                <wp:positionV relativeFrom="line">
                  <wp:posOffset>635</wp:posOffset>
                </wp:positionV>
                <wp:extent cx="6480175" cy="146685"/>
                <wp:effectExtent l="0" t="0" r="0" b="0"/>
                <wp:wrapNone/>
                <wp:docPr id="25" name="Frame2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24</w:t>
                      </w:r>
                    </w:p>
                  </w:txbxContent>
                </v:textbox>
                <w10:wrap type="none"/>
              </v:rect>
            </w:pict>
          </mc:Fallback>
        </mc:AlternateContent>
      </w:r>
    </w:p>
    <w:p>
      <w:pPr>
        <w:pStyle w:val="TextBody"/>
        <w:bidi w:val="0"/>
        <w:spacing w:lineRule="auto" w:line="288" w:before="160" w:after="160"/>
        <w:jc w:val="left"/>
        <w:rPr/>
      </w:pPr>
      <w:hyperlink w:anchor="i0388035fcf6a4f6ca5f569f2895a7d6a_10">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jc w:val="both"/>
        <w:rPr>
          <w:rFonts w:ascii="Times New Roman;serif" w:hAnsi="Times New Roman;serif"/>
          <w:b/>
          <w:i/>
          <w:color w:val="000000"/>
          <w:sz w:val="20"/>
        </w:rPr>
      </w:pPr>
      <w:r>
        <w:rPr>
          <w:rFonts w:ascii="Times New Roman;serif" w:hAnsi="Times New Roman;serif"/>
          <w:b/>
          <w:i/>
          <w:color w:val="000000"/>
          <w:sz w:val="20"/>
        </w:rPr>
        <w:t>Labor Costs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Labor costs increased by $0.4 million, or 0.3%, in the first three quarters of 2025 compared to the same period of 2024. As a percentage of restaurant revenue, labor costs increased to 31.9% in the first three quarters of 2025 compared to 31.8% in the first three quarters of 2024, primarily due to 0.7% of wage inflation and 0.4% from an increase in labor hours related to the new menu rollout, partially offset by a 0.7% benefit from sales leverage and a 0.3% benefit from lower incentive pay and benefits.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i/>
          <w:color w:val="000000"/>
          <w:sz w:val="20"/>
        </w:rPr>
      </w:pPr>
      <w:r>
        <w:rPr>
          <w:rFonts w:ascii="Times New Roman;serif" w:hAnsi="Times New Roman;serif"/>
          <w:b/>
          <w:i/>
          <w:color w:val="000000"/>
          <w:sz w:val="20"/>
        </w:rPr>
        <w:t>Occupancy Costs</w:t>
      </w:r>
    </w:p>
    <w:p>
      <w:pPr>
        <w:pStyle w:val="TextBody"/>
        <w:bidi w:val="0"/>
        <w:spacing w:before="0" w:after="0"/>
        <w:jc w:val="both"/>
        <w:rPr/>
      </w:pPr>
      <w:r>
        <w:rPr/>
      </w:r>
    </w:p>
    <w:p>
      <w:pPr>
        <w:pStyle w:val="TextBody"/>
        <w:bidi w:val="0"/>
        <w:spacing w:lineRule="auto" w:line="288" w:before="0" w:after="0"/>
        <w:jc w:val="both"/>
        <w:rPr/>
      </w:pPr>
      <w:r>
        <w:rPr>
          <w:rFonts w:ascii="Times New Roman;serif" w:hAnsi="Times New Roman;serif"/>
          <w:b w:val="false"/>
          <w:color w:val="000000"/>
          <w:sz w:val="20"/>
        </w:rPr>
        <w:t xml:space="preserve">Occupancy costs decreased </w:t>
      </w:r>
      <w:r>
        <w:rPr>
          <w:rFonts w:ascii="Times New Roman;serif" w:hAnsi="Times New Roman;serif"/>
          <w:b w:val="false"/>
          <w:color w:val="000000"/>
          <w:sz w:val="20"/>
          <w:shd w:fill="FFFFFF" w:val="clear"/>
        </w:rPr>
        <w:t xml:space="preserve">by $1.0 million, or 2.9%, in the first three quarters of 2025 compared to the first three quarters of 2024, primarily due to permanent restaurant closures. As a percentage of restaurant revenue, occupancy costs </w:t>
      </w:r>
      <w:r>
        <w:rPr>
          <w:rFonts w:ascii="Times New Roman;serif" w:hAnsi="Times New Roman;serif"/>
          <w:b w:val="false"/>
          <w:color w:val="000000"/>
          <w:sz w:val="20"/>
        </w:rPr>
        <w:t>decreased</w:t>
      </w:r>
      <w:r>
        <w:rPr>
          <w:color w:val="000000"/>
          <w:shd w:fill="FFFFFF" w:val="clear"/>
        </w:rPr>
        <w:t xml:space="preserve"> </w:t>
      </w:r>
      <w:r>
        <w:rPr>
          <w:rFonts w:ascii="Times New Roman;serif" w:hAnsi="Times New Roman;serif"/>
          <w:b w:val="false"/>
          <w:color w:val="000000"/>
          <w:sz w:val="20"/>
          <w:shd w:fill="FFFFFF" w:val="clear"/>
        </w:rPr>
        <w:t>to 9.3% in the first three quarters of 2025 compared to 9.6% in the first three quarters of 2024, primarily due to sales leverage.</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i/>
          <w:color w:val="000000"/>
          <w:sz w:val="20"/>
        </w:rPr>
      </w:pPr>
      <w:r>
        <w:rPr>
          <w:rFonts w:ascii="Times New Roman;serif" w:hAnsi="Times New Roman;serif"/>
          <w:b/>
          <w:i/>
          <w:color w:val="000000"/>
          <w:sz w:val="20"/>
        </w:rPr>
        <w:t>Other Restaurant Operating Costs</w:t>
      </w:r>
    </w:p>
    <w:p>
      <w:pPr>
        <w:pStyle w:val="TextBody"/>
        <w:bidi w:val="0"/>
        <w:spacing w:before="0" w:after="0"/>
        <w:jc w:val="both"/>
        <w:rPr/>
      </w:pPr>
      <w:r>
        <w:rPr/>
      </w:r>
    </w:p>
    <w:p>
      <w:pPr>
        <w:pStyle w:val="TextBody"/>
        <w:bidi w:val="0"/>
        <w:spacing w:lineRule="auto" w:line="288" w:before="0" w:after="0"/>
        <w:jc w:val="both"/>
        <w:rPr/>
      </w:pPr>
      <w:r>
        <w:rPr>
          <w:rFonts w:ascii="Times New Roman;serif" w:hAnsi="Times New Roman;serif"/>
          <w:b w:val="false"/>
          <w:color w:val="000000"/>
          <w:sz w:val="20"/>
        </w:rPr>
        <w:t>Other restaurant operat</w:t>
      </w:r>
      <w:r>
        <w:rPr>
          <w:rFonts w:ascii="Times New Roman;serif" w:hAnsi="Times New Roman;serif"/>
          <w:b w:val="false"/>
          <w:color w:val="000000"/>
          <w:sz w:val="20"/>
          <w:shd w:fill="FFFFFF" w:val="clear"/>
        </w:rPr>
        <w:t>ing costs increased by $3.1 million, or 4.4%, in the first three quarters of 2025 compared to the first three quarters of 2024. As a percentage of restaurant revenue, other restaurant operating costs increased to 20.5% in the first three quarters of 2025 compared to 19.7% in the first three quarters of 2024, primarily due to 0.6% impact from higher delivery fees driven by higher delivery sales, 0.2% from increased marketing spend, 0.2% from higher energy costs and 0.1% from the new menu roll out, partially offset by 0.4% of sales leverage.</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i/>
          <w:color w:val="000000"/>
          <w:sz w:val="20"/>
        </w:rPr>
      </w:pPr>
      <w:r>
        <w:rPr>
          <w:rFonts w:ascii="Times New Roman;serif" w:hAnsi="Times New Roman;serif"/>
          <w:b/>
          <w:i/>
          <w:color w:val="000000"/>
          <w:sz w:val="20"/>
        </w:rPr>
        <w:t>General and Administrative Expense</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General and administrative expense decreased by $2.0 million, or 5.1%, in the first three quarters of 2025 compared to the first three quarters of 2024, primarily due to lower wage and incentive pay of $1.0 million, lower stock based compensation of $0.7 million, a $0.6 million decrease in expenses related to our annual summit and a $0.6 million decrease in professional fees, partially offset by higher marketing expenses of $0.6 million. As a percentage of revenue, general and administrative expense decreased to 10.1% in the first three quarters of 2025 from 10.6% in the first three quarters of 2024.</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i/>
          <w:color w:val="000000"/>
          <w:sz w:val="20"/>
        </w:rPr>
      </w:pPr>
      <w:r>
        <w:rPr>
          <w:rFonts w:ascii="Times New Roman;serif" w:hAnsi="Times New Roman;serif"/>
          <w:b/>
          <w:i/>
          <w:color w:val="000000"/>
          <w:sz w:val="20"/>
        </w:rPr>
        <w:t>Depreciation and Amortization</w:t>
      </w:r>
    </w:p>
    <w:p>
      <w:pPr>
        <w:pStyle w:val="TextBody"/>
        <w:bidi w:val="0"/>
        <w:spacing w:before="0" w:after="0"/>
        <w:jc w:val="both"/>
        <w:rPr/>
      </w:pPr>
      <w:r>
        <w:rPr/>
      </w:r>
    </w:p>
    <w:p>
      <w:pPr>
        <w:pStyle w:val="TextBody"/>
        <w:bidi w:val="0"/>
        <w:spacing w:lineRule="auto" w:line="288" w:before="0" w:after="0"/>
        <w:jc w:val="both"/>
        <w:rPr/>
      </w:pPr>
      <w:r>
        <w:rPr>
          <w:rFonts w:ascii="Times New Roman;serif" w:hAnsi="Times New Roman;serif"/>
          <w:b w:val="false"/>
          <w:color w:val="000000"/>
          <w:sz w:val="20"/>
        </w:rPr>
        <w:t>Depreciation and amortization decreased by $1.2 million, or 5.2%, in the first three quarters of 2025 compared to the first three quarters of 2024</w:t>
      </w:r>
      <w:r>
        <w:rPr>
          <w:rFonts w:ascii="Times New Roman;serif" w:hAnsi="Times New Roman;serif"/>
          <w:b w:val="false"/>
          <w:color w:val="000000"/>
          <w:sz w:val="20"/>
          <w:shd w:fill="FFFFFF" w:val="clear"/>
        </w:rPr>
        <w:t xml:space="preserve">, primarily due to restaurant closures. </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i/>
          <w:color w:val="000000"/>
          <w:sz w:val="20"/>
        </w:rPr>
      </w:pPr>
      <w:r>
        <w:rPr>
          <w:rFonts w:ascii="Times New Roman;serif" w:hAnsi="Times New Roman;serif"/>
          <w:b/>
          <w:i/>
          <w:color w:val="000000"/>
          <w:sz w:val="20"/>
        </w:rPr>
        <w:t>Restaurant Impairments, Closure Costs and Asset Disposals</w:t>
      </w:r>
    </w:p>
    <w:p>
      <w:pPr>
        <w:pStyle w:val="TextBody"/>
        <w:bidi w:val="0"/>
        <w:spacing w:before="0" w:after="0"/>
        <w:jc w:val="both"/>
        <w:rPr/>
      </w:pPr>
      <w:r>
        <w:rPr/>
      </w:r>
    </w:p>
    <w:p>
      <w:pPr>
        <w:pStyle w:val="TextBody"/>
        <w:bidi w:val="0"/>
        <w:spacing w:lineRule="auto" w:line="288" w:before="0" w:after="0"/>
        <w:jc w:val="both"/>
        <w:rPr/>
      </w:pPr>
      <w:r>
        <w:rPr>
          <w:rFonts w:ascii="Times New Roman;serif" w:hAnsi="Times New Roman;serif"/>
          <w:b w:val="false"/>
          <w:color w:val="000000"/>
          <w:sz w:val="20"/>
          <w:shd w:fill="FFFFFF" w:val="clear"/>
        </w:rPr>
        <w:t xml:space="preserve">Restaurant impairments, closure costs and asset disposals </w:t>
      </w:r>
      <w:r>
        <w:rPr>
          <w:rFonts w:ascii="Times New Roman;serif" w:hAnsi="Times New Roman;serif"/>
          <w:b w:val="false"/>
          <w:color w:val="000000"/>
          <w:sz w:val="20"/>
        </w:rPr>
        <w:t>increased $5.1 million to</w:t>
      </w:r>
      <w:r>
        <w:rPr>
          <w:color w:val="000000"/>
          <w:shd w:fill="FFFFFF" w:val="clear"/>
        </w:rPr>
        <w:t xml:space="preserve"> </w:t>
      </w:r>
      <w:r>
        <w:rPr>
          <w:rFonts w:ascii="Times New Roman;serif" w:hAnsi="Times New Roman;serif"/>
          <w:b w:val="false"/>
          <w:color w:val="000000"/>
          <w:sz w:val="20"/>
          <w:shd w:fill="FFFFFF" w:val="clear"/>
        </w:rPr>
        <w:t xml:space="preserve">$20.6 million in the first three quarters of 2025 compared to the first three quarters of 2024. We recorded fixed asset impairment on 24 restaurants and wrote down lease related assets on </w:t>
      </w:r>
      <w:r>
        <w:rPr>
          <w:rFonts w:ascii="Times New Roman;serif" w:hAnsi="Times New Roman;serif"/>
          <w:b w:val="false"/>
          <w:color w:val="000000"/>
          <w:sz w:val="20"/>
        </w:rPr>
        <w:t>20</w:t>
      </w:r>
      <w:r>
        <w:rPr>
          <w:color w:val="000000"/>
          <w:shd w:fill="FFFFFF" w:val="clear"/>
        </w:rPr>
        <w:t xml:space="preserve"> </w:t>
      </w:r>
      <w:r>
        <w:rPr>
          <w:rFonts w:ascii="Times New Roman;serif" w:hAnsi="Times New Roman;serif"/>
          <w:b w:val="false"/>
          <w:color w:val="000000"/>
          <w:sz w:val="20"/>
          <w:shd w:fill="FFFFFF" w:val="clear"/>
        </w:rPr>
        <w:t xml:space="preserve">restaurants in the first three quarters of 2025. We recorded fixed asset impairment on 12 restaurants and wrote down lease related assets on </w:t>
      </w:r>
      <w:r>
        <w:rPr>
          <w:rFonts w:ascii="Times New Roman;serif" w:hAnsi="Times New Roman;serif"/>
          <w:b w:val="false"/>
          <w:color w:val="000000"/>
          <w:sz w:val="20"/>
        </w:rPr>
        <w:t>five</w:t>
      </w:r>
      <w:r>
        <w:rPr>
          <w:color w:val="000000"/>
          <w:shd w:fill="FFFFFF" w:val="clear"/>
        </w:rPr>
        <w:t xml:space="preserve"> </w:t>
      </w:r>
      <w:r>
        <w:rPr>
          <w:rFonts w:ascii="Times New Roman;serif" w:hAnsi="Times New Roman;serif"/>
          <w:b w:val="false"/>
          <w:color w:val="000000"/>
          <w:sz w:val="20"/>
          <w:shd w:fill="FFFFFF" w:val="clear"/>
        </w:rPr>
        <w:t xml:space="preserve">restaurants in the first three quarters of 2024. </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i/>
          <w:color w:val="000000"/>
          <w:sz w:val="20"/>
        </w:rPr>
      </w:pPr>
      <w:r>
        <w:rPr>
          <w:rFonts w:ascii="Times New Roman;serif" w:hAnsi="Times New Roman;serif"/>
          <w:b/>
          <w:i/>
          <w:color w:val="000000"/>
          <w:sz w:val="20"/>
        </w:rPr>
        <w:t>Interest Expense</w:t>
      </w:r>
    </w:p>
    <w:p>
      <w:pPr>
        <w:pStyle w:val="TextBody"/>
        <w:bidi w:val="0"/>
        <w:spacing w:before="0" w:after="0"/>
        <w:jc w:val="both"/>
        <w:rPr/>
      </w:pPr>
      <w:r>
        <w:rPr/>
      </w:r>
    </w:p>
    <w:p>
      <w:pPr>
        <w:pStyle w:val="TextBody"/>
        <w:bidi w:val="0"/>
        <w:spacing w:lineRule="auto" w:line="288" w:before="0" w:after="0"/>
        <w:jc w:val="both"/>
        <w:rPr/>
      </w:pPr>
      <w:r>
        <w:rPr>
          <w:rFonts w:ascii="Times New Roman;serif" w:hAnsi="Times New Roman;serif"/>
          <w:b w:val="false"/>
          <w:color w:val="000000"/>
          <w:sz w:val="20"/>
        </w:rPr>
        <w:t>Interest expense increased</w:t>
      </w:r>
      <w:r>
        <w:rPr>
          <w:color w:val="000000"/>
          <w:shd w:fill="FFFFFF" w:val="clear"/>
        </w:rPr>
        <w:t xml:space="preserve"> </w:t>
      </w:r>
      <w:r>
        <w:rPr>
          <w:rFonts w:ascii="Times New Roman;serif" w:hAnsi="Times New Roman;serif"/>
          <w:b w:val="false"/>
          <w:color w:val="000000"/>
          <w:sz w:val="20"/>
          <w:shd w:fill="FFFFFF" w:val="clear"/>
        </w:rPr>
        <w:t>by $2.2 million in the first three quarters of 2025 compared to the same period of 2024. The increase was primarily due to higher average borrowings in the first three quarters of 2025 compare</w:t>
      </w:r>
      <w:r>
        <w:rPr>
          <w:rFonts w:ascii="Times New Roman;serif" w:hAnsi="Times New Roman;serif"/>
          <w:b w:val="false"/>
          <w:color w:val="000000"/>
          <w:sz w:val="20"/>
        </w:rPr>
        <w:t>d to the first three quarters of 2024.</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i/>
          <w:color w:val="000000"/>
          <w:sz w:val="20"/>
        </w:rPr>
      </w:pPr>
      <w:r>
        <w:rPr>
          <w:rFonts w:ascii="Times New Roman;serif" w:hAnsi="Times New Roman;serif"/>
          <w:b/>
          <w:i/>
          <w:color w:val="000000"/>
          <w:sz w:val="20"/>
        </w:rPr>
        <w:t>Provision for Income Taxes</w:t>
      </w:r>
    </w:p>
    <w:p>
      <w:pPr>
        <w:pStyle w:val="TextBody"/>
        <w:bidi w:val="0"/>
        <w:spacing w:before="0" w:after="0"/>
        <w:jc w:val="both"/>
        <w:rPr/>
      </w:pPr>
      <w:r>
        <w:rPr/>
      </w:r>
    </w:p>
    <w:p>
      <w:pPr>
        <w:pStyle w:val="TextBody"/>
        <w:bidi w:val="0"/>
        <w:spacing w:lineRule="auto" w:line="288" w:before="0" w:after="0"/>
        <w:jc w:val="both"/>
        <w:rPr/>
      </w:pPr>
      <w:r>
        <w:rPr>
          <w:rFonts w:ascii="Times New Roman;serif" w:hAnsi="Times New Roman;serif"/>
          <w:b w:val="false"/>
          <w:color w:val="000000"/>
          <w:sz w:val="20"/>
          <w:shd w:fill="FFFFFF" w:val="clear"/>
        </w:rPr>
        <w:t>The effective tax rate for the first three quarters of 2025 and for the first three quarters of 2024 reflect the impact of the previously recorded valuation allowance. The primary components of the provision for income tax (for all quarters) are related to state tax and the change in our valuation allowance. For the remainder of fiscal 2025, we do not anticipate material income tax expense or benefit as a result of the valuation allowance recorded. We will maintain a valuation allowance against deferred tax assets until there is sufficient evidence to support a full or partial reversal. The reversal of a previously recorded valuation allowance will generally result in a benefit from income tax. We estimate the annual effective tax rate for 2025 to be between</w:t>
      </w:r>
      <w:r>
        <w:rPr>
          <w:color w:val="000000"/>
        </w:rPr>
        <w:t xml:space="preserve"> </w:t>
      </w:r>
      <w:r>
        <w:rPr>
          <w:rFonts w:ascii="Times New Roman;serif" w:hAnsi="Times New Roman;serif"/>
          <w:b w:val="false"/>
          <w:color w:val="000000"/>
          <w:sz w:val="20"/>
          <w:shd w:fill="FFFFFF" w:val="clear"/>
        </w:rPr>
        <w:t>(1.0%) and (0%).</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7">
                <wp:simplePos x="0" y="0"/>
                <wp:positionH relativeFrom="character">
                  <wp:align>left</wp:align>
                </wp:positionH>
                <wp:positionV relativeFrom="line">
                  <wp:posOffset>635</wp:posOffset>
                </wp:positionV>
                <wp:extent cx="6480175" cy="146685"/>
                <wp:effectExtent l="0" t="0" r="0" b="0"/>
                <wp:wrapNone/>
                <wp:docPr id="26" name="Frame2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25</w:t>
                      </w:r>
                    </w:p>
                  </w:txbxContent>
                </v:textbox>
                <w10:wrap type="none"/>
              </v:rect>
            </w:pict>
          </mc:Fallback>
        </mc:AlternateContent>
      </w:r>
    </w:p>
    <w:p>
      <w:pPr>
        <w:pStyle w:val="TextBody"/>
        <w:bidi w:val="0"/>
        <w:spacing w:lineRule="auto" w:line="288" w:before="160" w:after="160"/>
        <w:jc w:val="left"/>
        <w:rPr/>
      </w:pPr>
      <w:hyperlink w:anchor="i0388035fcf6a4f6ca5f569f2895a7d6a_10">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jc w:val="both"/>
        <w:rPr>
          <w:rFonts w:ascii="Times New Roman;serif" w:hAnsi="Times New Roman;serif"/>
          <w:b/>
          <w:color w:val="000000"/>
          <w:sz w:val="20"/>
        </w:rPr>
      </w:pPr>
      <w:r>
        <w:rPr>
          <w:rFonts w:ascii="Times New Roman;serif" w:hAnsi="Times New Roman;serif"/>
          <w:b/>
          <w:color w:val="000000"/>
          <w:sz w:val="20"/>
        </w:rPr>
        <w:t>Liquidity and Capital Resources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i/>
          <w:color w:val="000000"/>
          <w:sz w:val="20"/>
        </w:rPr>
      </w:pPr>
      <w:r>
        <w:rPr>
          <w:rFonts w:ascii="Times New Roman;serif" w:hAnsi="Times New Roman;serif"/>
          <w:b/>
          <w:i/>
          <w:color w:val="000000"/>
          <w:sz w:val="20"/>
        </w:rPr>
        <w:t>Summary of Cash Flows</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We have historically used cash and our revolving credit facility to fund capital expenditures for new restaurant openings, reinvest in our existing restaurants, invest in infrastructure and information technology and maintain working capital. Our working capital position benefits from the fact that we generally collect cash from sales to customers the same day, or in the case of credit or debit card transactions, within several days of the related sale, and we typically have up to 30 days to pay our vendors. </w:t>
      </w:r>
    </w:p>
    <w:p>
      <w:pPr>
        <w:pStyle w:val="TextBody"/>
        <w:bidi w:val="0"/>
        <w:spacing w:before="0" w:after="0"/>
        <w:jc w:val="both"/>
        <w:rPr/>
      </w:pPr>
      <w:r>
        <w:rPr/>
      </w:r>
    </w:p>
    <w:p>
      <w:pPr>
        <w:pStyle w:val="TextBody"/>
        <w:bidi w:val="0"/>
        <w:spacing w:lineRule="auto" w:line="288" w:before="0" w:after="0"/>
        <w:jc w:val="both"/>
        <w:rPr/>
      </w:pPr>
      <w:r>
        <w:rPr>
          <w:rFonts w:ascii="Times New Roman;serif" w:hAnsi="Times New Roman;serif"/>
          <w:b w:val="false"/>
          <w:color w:val="000000"/>
          <w:sz w:val="20"/>
          <w:shd w:fill="FFFFFF" w:val="clear"/>
        </w:rPr>
        <w:t>We believe that we will have sufficient sources of cash to meet our liquidity needs and capital resource requirements for at least the next twelve months, through currently available cash and cash equivalents, availability under our revolving credit facility and cash flows from operations.</w:t>
      </w:r>
      <w:r>
        <w:rPr>
          <w:color w:val="000000"/>
        </w:rPr>
        <w:t xml:space="preserve"> </w:t>
      </w:r>
      <w:r>
        <w:rPr>
          <w:rFonts w:ascii="Times New Roman;serif" w:hAnsi="Times New Roman;serif"/>
          <w:b w:val="false"/>
          <w:color w:val="000000"/>
          <w:sz w:val="20"/>
        </w:rPr>
        <w:t xml:space="preserve">We were in compliance with our covenants as of September 30, 2025, and expect to continue to be in compliance for the next twelve months. The required Consolidated Total Lease Adjusted Leverage Ratio (as defined in the A&amp;R Credit Agreement) steps down from the current requirement of 5.50 to 1.00 to 5.25 to 1.00 for the fourth quarter of fiscal year 2025, and then further steps down to 5:00 to 1.00 for the first two quarters of fiscal 2026. The required Minimum Consolidated Fixed Charge Coverage Ratio (as defined in the A&amp;R Credit Agreement) steps up from the current requirement of 1.05 to 1.00 to 1.15 to 1.00 for the fourth quarter of fiscal year 2025 and the first quarter of fiscal 2026, and then further steps up to 1.25 to 1.00 for the second quarter of fiscal 2026. </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Cash flows from operating, investing and financing activities are shown in the following table (in thousands):</w:t>
      </w:r>
    </w:p>
    <w:tbl>
      <w:tblPr>
        <w:tblW w:w="6344" w:type="dxa"/>
        <w:jc w:val="left"/>
        <w:tblInd w:w="0" w:type="dxa"/>
        <w:tblLayout w:type="fixed"/>
        <w:tblCellMar>
          <w:top w:w="28" w:type="dxa"/>
          <w:left w:w="28" w:type="dxa"/>
          <w:bottom w:w="28" w:type="dxa"/>
          <w:right w:w="28" w:type="dxa"/>
        </w:tblCellMar>
      </w:tblPr>
      <w:tblGrid>
        <w:gridCol w:w="1254"/>
        <w:gridCol w:w="1104"/>
        <w:gridCol w:w="1107"/>
        <w:gridCol w:w="109"/>
        <w:gridCol w:w="109"/>
        <w:gridCol w:w="109"/>
        <w:gridCol w:w="257"/>
        <w:gridCol w:w="750"/>
        <w:gridCol w:w="132"/>
        <w:gridCol w:w="109"/>
        <w:gridCol w:w="109"/>
        <w:gridCol w:w="109"/>
        <w:gridCol w:w="211"/>
        <w:gridCol w:w="721"/>
        <w:gridCol w:w="154"/>
      </w:tblGrid>
      <w:tr>
        <w:trPr/>
        <w:tc>
          <w:tcPr>
            <w:tcW w:w="1254" w:type="dxa"/>
            <w:tcBorders/>
            <w:vAlign w:val="center"/>
          </w:tcPr>
          <w:p>
            <w:pPr>
              <w:pStyle w:val="TableContents"/>
              <w:bidi w:val="0"/>
              <w:spacing w:before="0" w:after="283"/>
              <w:jc w:val="left"/>
              <w:rPr>
                <w:sz w:val="4"/>
                <w:szCs w:val="4"/>
              </w:rPr>
            </w:pPr>
            <w:r>
              <w:rPr>
                <w:sz w:val="4"/>
                <w:szCs w:val="4"/>
              </w:rPr>
            </w:r>
          </w:p>
        </w:tc>
        <w:tc>
          <w:tcPr>
            <w:tcW w:w="1104" w:type="dxa"/>
            <w:tcBorders/>
            <w:vAlign w:val="center"/>
          </w:tcPr>
          <w:p>
            <w:pPr>
              <w:pStyle w:val="TableContents"/>
              <w:bidi w:val="0"/>
              <w:spacing w:before="0" w:after="283"/>
              <w:jc w:val="left"/>
              <w:rPr>
                <w:sz w:val="4"/>
                <w:szCs w:val="4"/>
              </w:rPr>
            </w:pPr>
            <w:r>
              <w:rPr>
                <w:sz w:val="4"/>
                <w:szCs w:val="4"/>
              </w:rPr>
            </w:r>
          </w:p>
        </w:tc>
        <w:tc>
          <w:tcPr>
            <w:tcW w:w="110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7" w:type="dxa"/>
            <w:tcBorders/>
            <w:vAlign w:val="center"/>
          </w:tcPr>
          <w:p>
            <w:pPr>
              <w:pStyle w:val="TableContents"/>
              <w:bidi w:val="0"/>
              <w:spacing w:before="0" w:after="283"/>
              <w:jc w:val="left"/>
              <w:rPr>
                <w:sz w:val="4"/>
                <w:szCs w:val="4"/>
              </w:rPr>
            </w:pPr>
            <w:r>
              <w:rPr>
                <w:sz w:val="4"/>
                <w:szCs w:val="4"/>
              </w:rPr>
            </w:r>
          </w:p>
        </w:tc>
        <w:tc>
          <w:tcPr>
            <w:tcW w:w="750"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65"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52"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Three Fiscal Quarters Ended</w:t>
            </w:r>
          </w:p>
        </w:tc>
      </w:tr>
      <w:tr>
        <w:trPr/>
        <w:tc>
          <w:tcPr>
            <w:tcW w:w="3465"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September 30,</w:t>
              <w:b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October 1,</w:t>
              <w:br/>
              <w:t>2024</w:t>
            </w:r>
          </w:p>
        </w:tc>
      </w:tr>
      <w:tr>
        <w:trPr/>
        <w:tc>
          <w:tcPr>
            <w:tcW w:w="34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cash provided by operating activities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5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8,357 </w:t>
            </w:r>
          </w:p>
        </w:tc>
        <w:tc>
          <w:tcPr>
            <w:tcW w:w="13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17,545 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cash used in investing activities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(10,055)</w:t>
            </w:r>
          </w:p>
        </w:tc>
        <w:tc>
          <w:tcPr>
            <w:tcW w:w="1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(22,921)</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cash provided by financing activities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5,243 </w:t>
            </w:r>
          </w:p>
        </w:tc>
        <w:tc>
          <w:tcPr>
            <w:tcW w:w="13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5,671 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increase in cash and cash equivalents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5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3,545 </w:t>
            </w:r>
          </w:p>
        </w:tc>
        <w:tc>
          <w:tcPr>
            <w:tcW w:w="13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295 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p>
      <w:pPr>
        <w:pStyle w:val="TextBody"/>
        <w:bidi w:val="0"/>
        <w:spacing w:lineRule="auto" w:line="288" w:before="0" w:after="0"/>
        <w:jc w:val="both"/>
        <w:rPr>
          <w:rFonts w:ascii="Times New Roman;serif" w:hAnsi="Times New Roman;serif"/>
          <w:b/>
          <w:i/>
          <w:color w:val="000000"/>
          <w:sz w:val="20"/>
        </w:rPr>
      </w:pPr>
      <w:r>
        <w:rPr>
          <w:rFonts w:ascii="Times New Roman;serif" w:hAnsi="Times New Roman;serif"/>
          <w:b/>
          <w:i/>
          <w:color w:val="000000"/>
          <w:sz w:val="20"/>
        </w:rPr>
        <w:t>Operating Activities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Net cash provided by operating activities was $8.4 million in the first three quarters of 2025 compared to net cash provided by operating activities of $17.5 million in the first three quarters of 2024. The decrease in operating cash flow resulted primarily from a decrease in net income as adjusted for non cash items including depreciation and impairments, as well as changes in working capital related to the timing of accounts payable, payroll and accrued liabilities.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i/>
          <w:color w:val="000000"/>
          <w:sz w:val="20"/>
          <w:shd w:fill="FFFFFF" w:val="clear"/>
        </w:rPr>
      </w:pPr>
      <w:r>
        <w:rPr>
          <w:rFonts w:ascii="Times New Roman;serif" w:hAnsi="Times New Roman;serif"/>
          <w:b/>
          <w:i/>
          <w:color w:val="000000"/>
          <w:sz w:val="20"/>
          <w:shd w:fill="FFFFFF" w:val="clear"/>
        </w:rPr>
        <w:t>Investing Activities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Net cash used in investing activities decreased $12.9 million to $10.1 million in the first three quarters of 2025 from $22.9 million in the first three quarters of 2024. This decrease was primarily due to decreased investment in new restaurants and restaurant technology in 2025.</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i/>
          <w:color w:val="000000"/>
          <w:sz w:val="20"/>
        </w:rPr>
      </w:pPr>
      <w:r>
        <w:rPr>
          <w:rFonts w:ascii="Times New Roman;serif" w:hAnsi="Times New Roman;serif"/>
          <w:b/>
          <w:i/>
          <w:color w:val="000000"/>
          <w:sz w:val="20"/>
        </w:rPr>
        <w:t>Financing Activities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Net cash provided by financing activities was $5.2 million in the first three quarters of 2025, compared to $5.7 million in the first two quarters of 2024. The decrease from the first three quarters of 2024 was primarily due to less net borrowings from our revolving credit facility.</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i/>
          <w:color w:val="000000"/>
          <w:sz w:val="20"/>
        </w:rPr>
      </w:pPr>
      <w:r>
        <w:rPr>
          <w:rFonts w:ascii="Times New Roman;serif" w:hAnsi="Times New Roman;serif"/>
          <w:b/>
          <w:i/>
          <w:color w:val="000000"/>
          <w:sz w:val="20"/>
        </w:rPr>
        <w:t>Capital Resources</w:t>
      </w:r>
    </w:p>
    <w:p>
      <w:pPr>
        <w:pStyle w:val="TextBody"/>
        <w:bidi w:val="0"/>
        <w:spacing w:before="0" w:after="0"/>
        <w:jc w:val="both"/>
        <w:rPr/>
      </w:pPr>
      <w:r>
        <w:rPr/>
      </w:r>
    </w:p>
    <w:p>
      <w:pPr>
        <w:pStyle w:val="TextBody"/>
        <w:bidi w:val="0"/>
        <w:spacing w:lineRule="auto" w:line="288" w:before="0" w:after="0"/>
        <w:jc w:val="both"/>
        <w:rPr/>
      </w:pPr>
      <w:r>
        <w:rPr>
          <w:rFonts w:ascii="Times New Roman;serif" w:hAnsi="Times New Roman;serif"/>
          <w:b w:val="false"/>
          <w:i/>
          <w:color w:val="000000"/>
          <w:sz w:val="20"/>
        </w:rPr>
        <w:t xml:space="preserve">Material Cash Requirements. </w:t>
      </w:r>
      <w:r>
        <w:rPr>
          <w:rFonts w:ascii="Times New Roman;serif" w:hAnsi="Times New Roman;serif"/>
          <w:b w:val="false"/>
          <w:color w:val="000000"/>
          <w:sz w:val="20"/>
        </w:rPr>
        <w:t>Our short-term obligations consist primarily of certain lease and other contractual commitments related to our operations, normal recurring operating expenses, working capital needs, new store development, capital improvements and maintenance of our restaurants, regular interest payments on our debt obligations and certain non-recurring expenditures.</w:t>
      </w:r>
    </w:p>
    <w:p>
      <w:pPr>
        <w:pStyle w:val="TextBody"/>
        <w:bidi w:val="0"/>
        <w:spacing w:before="0" w:after="0"/>
        <w:jc w:val="left"/>
        <w:rPr/>
      </w:pPr>
      <w:r>
        <w:rPr/>
      </w:r>
    </w:p>
    <w:p>
      <w:pPr>
        <w:pStyle w:val="TextBody"/>
        <w:bidi w:val="0"/>
        <w:spacing w:lineRule="auto" w:line="288" w:before="0" w:after="0"/>
        <w:jc w:val="both"/>
        <w:rPr/>
      </w:pPr>
      <w:r>
        <w:rPr>
          <w:rFonts w:ascii="Times New Roman;serif" w:hAnsi="Times New Roman;serif"/>
          <w:b w:val="false"/>
          <w:color w:val="000000"/>
          <w:sz w:val="20"/>
        </w:rPr>
        <w:t xml:space="preserve">Our long-term obligations consist primarily of certain lease and other contractual commitments related to our operations and payment of our outstanding debt obligations. </w:t>
      </w:r>
      <w:r>
        <w:rPr>
          <w:rFonts w:ascii="Times New Roman;serif" w:hAnsi="Times New Roman;serif"/>
          <w:b w:val="false"/>
          <w:color w:val="000000"/>
          <w:sz w:val="20"/>
          <w:shd w:fill="FFFFFF" w:val="clear"/>
        </w:rPr>
        <w:t xml:space="preserve">We are obligated under non-cancelable leases for our restaurants, administrative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8">
                <wp:simplePos x="0" y="0"/>
                <wp:positionH relativeFrom="character">
                  <wp:align>left</wp:align>
                </wp:positionH>
                <wp:positionV relativeFrom="line">
                  <wp:posOffset>635</wp:posOffset>
                </wp:positionV>
                <wp:extent cx="6480175" cy="146685"/>
                <wp:effectExtent l="0" t="0" r="0" b="0"/>
                <wp:wrapNone/>
                <wp:docPr id="27" name="Frame2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26</w:t>
                      </w:r>
                    </w:p>
                  </w:txbxContent>
                </v:textbox>
                <w10:wrap type="none"/>
              </v:rect>
            </w:pict>
          </mc:Fallback>
        </mc:AlternateContent>
      </w:r>
    </w:p>
    <w:p>
      <w:pPr>
        <w:pStyle w:val="TextBody"/>
        <w:bidi w:val="0"/>
        <w:spacing w:lineRule="auto" w:line="288" w:before="160" w:after="160"/>
        <w:jc w:val="left"/>
        <w:rPr/>
      </w:pPr>
      <w:hyperlink w:anchor="i0388035fcf6a4f6ca5f569f2895a7d6a_10">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jc w:val="both"/>
        <w:rPr/>
      </w:pPr>
      <w:r>
        <w:rPr>
          <w:rFonts w:ascii="Times New Roman;serif" w:hAnsi="Times New Roman;serif"/>
          <w:b w:val="false"/>
          <w:color w:val="000000"/>
          <w:sz w:val="20"/>
          <w:shd w:fill="FFFFFF" w:val="clear"/>
        </w:rPr>
        <w:t xml:space="preserve">offices and equipment. </w:t>
      </w:r>
      <w:r>
        <w:rPr>
          <w:rFonts w:ascii="Times New Roman;serif" w:hAnsi="Times New Roman;serif"/>
          <w:b w:val="false"/>
          <w:color w:val="000000"/>
          <w:sz w:val="20"/>
        </w:rPr>
        <w:t>In addition, o</w:t>
      </w:r>
      <w:r>
        <w:rPr>
          <w:rFonts w:ascii="Times New Roman;serif" w:hAnsi="Times New Roman;serif"/>
          <w:b w:val="false"/>
          <w:color w:val="000000"/>
          <w:sz w:val="20"/>
          <w:shd w:fill="FFFFFF" w:val="clear"/>
        </w:rPr>
        <w:t>ur target for</w:t>
      </w:r>
      <w:r>
        <w:rPr>
          <w:color w:val="000000"/>
        </w:rPr>
        <w:t xml:space="preserve"> </w:t>
      </w:r>
      <w:r>
        <w:rPr>
          <w:rFonts w:ascii="Times New Roman;serif" w:hAnsi="Times New Roman;serif"/>
          <w:b w:val="false"/>
          <w:color w:val="000000"/>
          <w:sz w:val="20"/>
        </w:rPr>
        <w:t>new store development will require capital each year which is expected to be funded by currently available cash and cash equivalents, cash flows from operations and our revolving credit facility.</w:t>
      </w:r>
      <w:r>
        <w:rPr>
          <w:color w:val="000000"/>
        </w:rPr>
        <w:t xml:space="preserve"> </w:t>
      </w:r>
      <w:r>
        <w:rPr>
          <w:rFonts w:ascii="Times New Roman;serif" w:hAnsi="Times New Roman;serif"/>
          <w:b w:val="false"/>
          <w:color w:val="000000"/>
          <w:sz w:val="20"/>
        </w:rPr>
        <w:t xml:space="preserve">Our capital expenditure requirements are primarily dependent upon the pace of our real estate development program and resulting new restaurant openings, costs for maintenance and remodeling of our existing restaurants as well as information technology expenses and other general corporate capital expenditures. </w:t>
      </w:r>
    </w:p>
    <w:p>
      <w:pPr>
        <w:pStyle w:val="TextBody"/>
        <w:bidi w:val="0"/>
        <w:spacing w:before="0" w:after="0"/>
        <w:jc w:val="both"/>
        <w:rPr/>
      </w:pPr>
      <w:r>
        <w:rPr/>
      </w:r>
    </w:p>
    <w:p>
      <w:pPr>
        <w:pStyle w:val="TextBody"/>
        <w:bidi w:val="0"/>
        <w:spacing w:lineRule="auto" w:line="288" w:before="0" w:after="0"/>
        <w:jc w:val="both"/>
        <w:rPr/>
      </w:pPr>
      <w:r>
        <w:rPr>
          <w:rFonts w:ascii="Times New Roman;serif" w:hAnsi="Times New Roman;serif"/>
          <w:b w:val="false"/>
          <w:color w:val="000000"/>
          <w:sz w:val="20"/>
          <w:shd w:fill="FFFFFF" w:val="clear"/>
        </w:rPr>
        <w:t xml:space="preserve">We estimate capital expenditures will be approximately $12.0 million to $13.0 million for fiscal year 2025, including $2.0 million to $3.0 million for the remainder of the year, primarily for the reinvestment in existing restaurants and investments in technology. We expect such capital expenditures to be funded by currently available cash </w:t>
      </w:r>
      <w:r>
        <w:rPr>
          <w:rFonts w:ascii="Times New Roman;serif" w:hAnsi="Times New Roman;serif"/>
          <w:b w:val="false"/>
          <w:color w:val="000000"/>
          <w:sz w:val="20"/>
        </w:rPr>
        <w:t xml:space="preserve">and cash equivalents, cash flows from operations and if necessary, undrawn capacity under our revolving credit line. </w:t>
      </w:r>
    </w:p>
    <w:p>
      <w:pPr>
        <w:pStyle w:val="TextBody"/>
        <w:bidi w:val="0"/>
        <w:spacing w:before="0" w:after="0"/>
        <w:jc w:val="both"/>
        <w:rPr/>
      </w:pPr>
      <w:r>
        <w:rPr/>
      </w:r>
    </w:p>
    <w:p>
      <w:pPr>
        <w:pStyle w:val="TextBody"/>
        <w:bidi w:val="0"/>
        <w:spacing w:lineRule="auto" w:line="288" w:before="0" w:after="0"/>
        <w:jc w:val="both"/>
        <w:rPr/>
      </w:pPr>
      <w:r>
        <w:rPr>
          <w:rFonts w:ascii="Times New Roman;serif" w:hAnsi="Times New Roman;serif"/>
          <w:b w:val="false"/>
          <w:i/>
          <w:color w:val="000000"/>
          <w:sz w:val="20"/>
        </w:rPr>
        <w:t xml:space="preserve">Current Resources. </w:t>
      </w:r>
      <w:r>
        <w:rPr>
          <w:rFonts w:ascii="Times New Roman;serif" w:hAnsi="Times New Roman;serif"/>
          <w:b w:val="false"/>
          <w:color w:val="000000"/>
          <w:sz w:val="20"/>
        </w:rPr>
        <w:t>Our operations have not historically required significant working capital and, like many restaurant companies, we operate with negative working capital. Restaurant sales are primarily paid for in cash or by credit or debit card, and restaurant operations do not require significant inventories or receivables. In addition, we receive trade credit for the purchase of food, beverages and supplies, therefore reducing the need for incremental working capital to support growth.</w:t>
      </w:r>
    </w:p>
    <w:p>
      <w:pPr>
        <w:pStyle w:val="TextBody"/>
        <w:bidi w:val="0"/>
        <w:spacing w:before="0" w:after="0"/>
        <w:jc w:val="both"/>
        <w:rPr/>
      </w:pPr>
      <w:r>
        <w:rPr/>
      </w:r>
    </w:p>
    <w:p>
      <w:pPr>
        <w:pStyle w:val="TextBody"/>
        <w:bidi w:val="0"/>
        <w:spacing w:lineRule="auto" w:line="288" w:before="0" w:after="0"/>
        <w:jc w:val="both"/>
        <w:rPr/>
      </w:pPr>
      <w:r>
        <w:rPr>
          <w:rFonts w:ascii="Times New Roman;serif" w:hAnsi="Times New Roman;serif"/>
          <w:b w:val="false"/>
          <w:i/>
          <w:color w:val="000000"/>
          <w:sz w:val="20"/>
        </w:rPr>
        <w:t>Liquidity</w:t>
      </w:r>
      <w:r>
        <w:rPr>
          <w:rFonts w:ascii="Times New Roman;serif" w:hAnsi="Times New Roman;serif"/>
          <w:b w:val="false"/>
          <w:color w:val="000000"/>
          <w:sz w:val="20"/>
        </w:rPr>
        <w:t xml:space="preserve">. </w:t>
      </w:r>
      <w:r>
        <w:rPr>
          <w:rFonts w:ascii="Times New Roman;serif" w:hAnsi="Times New Roman;serif"/>
          <w:b w:val="false"/>
          <w:color w:val="000000"/>
          <w:sz w:val="20"/>
          <w:shd w:fill="FFFFFF" w:val="clear"/>
        </w:rPr>
        <w:t xml:space="preserve">As of </w:t>
      </w:r>
      <w:r>
        <w:rPr>
          <w:rFonts w:ascii="Times New Roman;serif" w:hAnsi="Times New Roman;serif"/>
          <w:b w:val="false"/>
          <w:color w:val="000000"/>
          <w:sz w:val="20"/>
        </w:rPr>
        <w:t>September 30, 2025</w:t>
      </w:r>
      <w:r>
        <w:rPr>
          <w:rFonts w:ascii="Times New Roman;serif" w:hAnsi="Times New Roman;serif"/>
          <w:b w:val="false"/>
          <w:color w:val="000000"/>
          <w:sz w:val="20"/>
          <w:shd w:fill="FFFFFF" w:val="clear"/>
        </w:rPr>
        <w:t xml:space="preserve">, we had a cash balance of $4.7 million compared to $1.1 million as </w:t>
      </w:r>
      <w:r>
        <w:rPr>
          <w:rFonts w:ascii="Times New Roman;serif" w:hAnsi="Times New Roman;serif"/>
          <w:b w:val="false"/>
          <w:color w:val="000000"/>
          <w:sz w:val="20"/>
        </w:rPr>
        <w:t xml:space="preserve">of December 31, 2024. The amount available for future borrowings under our A&amp;R Credit Agreement (defined below) was $12.2 million as of September 30, 2025. </w:t>
      </w:r>
      <w:r>
        <w:rPr>
          <w:rFonts w:ascii="Times New Roman;serif" w:hAnsi="Times New Roman;serif"/>
          <w:b w:val="false"/>
          <w:color w:val="000000"/>
          <w:sz w:val="20"/>
          <w:shd w:fill="FFFFFF" w:val="clear"/>
        </w:rPr>
        <w:t xml:space="preserve">We believe that our current cash and cash equivalents, the expected cash flows from company-owned restaurant operations, the expected franchise fees and royalties and available borrowings under the revolving credit facility will be sufficient to fund our cash requirements for working capital needs and capital improvements and maintenance of existing restaurants for at least the next twelve months. </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i/>
          <w:color w:val="000000"/>
          <w:sz w:val="20"/>
        </w:rPr>
      </w:pPr>
      <w:r>
        <w:rPr>
          <w:rFonts w:ascii="Times New Roman;serif" w:hAnsi="Times New Roman;serif"/>
          <w:b/>
          <w:i/>
          <w:color w:val="000000"/>
          <w:sz w:val="20"/>
        </w:rPr>
        <w:t>Credit Facility</w:t>
      </w:r>
    </w:p>
    <w:p>
      <w:pPr>
        <w:pStyle w:val="TextBody"/>
        <w:bidi w:val="0"/>
        <w:spacing w:before="0" w:after="0"/>
        <w:jc w:val="both"/>
        <w:rPr/>
      </w:pPr>
      <w:r>
        <w:rPr/>
      </w:r>
    </w:p>
    <w:p>
      <w:pPr>
        <w:pStyle w:val="TextBody"/>
        <w:bidi w:val="0"/>
        <w:spacing w:lineRule="auto" w:line="288" w:before="0" w:after="0"/>
        <w:jc w:val="both"/>
        <w:rPr/>
      </w:pPr>
      <w:r>
        <w:rPr>
          <w:rFonts w:ascii="Times New Roman;serif" w:hAnsi="Times New Roman;serif"/>
          <w:b w:val="false"/>
          <w:color w:val="000000"/>
          <w:sz w:val="20"/>
          <w:shd w:fill="FFFFFF" w:val="clear"/>
        </w:rPr>
        <w:t>On July 27, 2022, we</w:t>
      </w:r>
      <w:r>
        <w:rPr>
          <w:color w:val="000000"/>
        </w:rPr>
        <w:t xml:space="preserve"> </w:t>
      </w:r>
      <w:r>
        <w:rPr>
          <w:rFonts w:ascii="Times New Roman;serif" w:hAnsi="Times New Roman;serif"/>
          <w:b w:val="false"/>
          <w:color w:val="000000"/>
          <w:sz w:val="20"/>
        </w:rPr>
        <w:t xml:space="preserve">entered into </w:t>
      </w:r>
      <w:r>
        <w:rPr>
          <w:rFonts w:ascii="Times New Roman;serif" w:hAnsi="Times New Roman;serif"/>
          <w:b w:val="false"/>
          <w:color w:val="000000"/>
          <w:sz w:val="20"/>
          <w:shd w:fill="FFFFFF" w:val="clear"/>
        </w:rPr>
        <w:t>the Amended and Restated Credit Agreement as further amended, restated, extended, supplemented, modified and otherwise in effect from time to time, the (“A&amp;R Credit Agreement”), with each other Loan Party (as defined in the A&amp;R Credit Agreement) party thereto, each lender from time to time party thereto, and U.S. Bank National Association, as Administrative Agent, L/C Issuer and Swing Line Lender (each as defined in the A&amp;R Credit Agreement). The A&amp;R Credit Agreement matures on July 27, 2027. Among other things, the A&amp;R Credit Agreement: (i) increased the credit facility from $100.0 million to $125.0 million; (ii) eliminated the term loan and principal amortization components of the credit facility; (iii) removed the capital expenditure covenant; (iv) enhanced flexibility for certain covenants and restrictions; and (v) lowered the spread of our cost of borrowing</w:t>
      </w:r>
      <w:r>
        <w:rPr>
          <w:color w:val="000000"/>
        </w:rPr>
        <w:t xml:space="preserve"> </w:t>
      </w:r>
      <w:r>
        <w:rPr>
          <w:rFonts w:ascii="Times New Roman;serif" w:hAnsi="Times New Roman;serif"/>
          <w:b w:val="false"/>
          <w:color w:val="000000"/>
          <w:sz w:val="20"/>
        </w:rPr>
        <w:t>and transitioned from LIBOR to SOFR plus a margin of 1.50% to 2.50% per annum, based upon the consolidated total lease-adjusted leverage ratio. The A&amp;R Credit Agreement is secured by a pledge of stock of substantially all of our subsidiaries and a lien on substantially all of our and our subsidiaries’ personal property assets. The A&amp;R Credit Agreement was subsequently amended on December 21, 2023.</w:t>
      </w:r>
    </w:p>
    <w:p>
      <w:pPr>
        <w:pStyle w:val="TextBody"/>
        <w:bidi w:val="0"/>
        <w:spacing w:before="0" w:after="0"/>
        <w:jc w:val="left"/>
        <w:rPr/>
      </w:pPr>
      <w:r>
        <w:rPr/>
      </w:r>
    </w:p>
    <w:p>
      <w:pPr>
        <w:pStyle w:val="TextBody"/>
        <w:bidi w:val="0"/>
        <w:spacing w:lineRule="auto" w:line="288" w:before="0" w:after="0"/>
        <w:jc w:val="both"/>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On October 29, 2024, we amended our A&amp;R Credit Agreement, by entering into that certain Second Amendment to Amended and Restated Credit Agreement (the “Second Amendment”). Among the modifications, the Second Amendment: (i) increased the maximum applicable rate ranges (A) with respect to SOFR loans, from 1.75% - 3.00% to 1.75% - 3.75% per annum and (B) with respect to base rate loans, from 0.75% - 2.00% to 0.75% - 2.75% per annum, in each case as determined by the Consolidated Total Lease Adjusted Leverage Ratio (as defined in the A&amp;R Credit Agreement), (ii) conditioned the use of the general restricted payment basket on satisfaction of a Consolidated Total Lease Adjusted Leverage Ratio (as defined in the A&amp;R Credit Agreement) of less than or equal to 4.00 to 1.00 and a Consolidated Fixed Charge Coverage Ratio (as defined in the A&amp;R Credit Agreement) of greater than or equal to 1.25 to 1.00, (iii) restricted entry into new lease agreements so long as the Consolidated Total Lease Adjusted Leverage Ratio (as defined in the A&amp;R Credit Agreement) in Section 7.11(a) of the A&amp;R Credit Agreement is greater than or equal to 4.50 to 1.00, (iv) increased the Consolidated Total Lease Adjusted Leverage Ratio (as defined in the A&amp;R Credit Agreement) in Section 7.11(a) of the A&amp;R Credit Agreement to be no greater than (x) 5.50 to 1.00 for the fiscal quarter ending on October 1, 2024 until and including the last day of the fiscal quarter ending September 30, 2025 and (y) stepping down to (1) 5.25 to 1.00 for the fiscal quarter ending December 30, 2025, (2) 5.00 to 1.00 for the fiscal quarters ending March 31, 2026 and June 30, 2026, (3) 4.75 to 1.00 for the fiscal quarters ending September 29, 2026 and December 29, 2026 and (4) 4.50 to 1.00 for the fiscal quarter ended March 30, 2027 and thereafter and (v) amended the Consolidated Fixed Charge Coverage Ratio (as defined in the A&amp;R Credit Agreement) in Section 7.11(b) of the A&amp;R Credit Agreement to be no less than (x) 1.05 to 1.00 for the fiscal quarter ending on October 1, 2024 until and including the last day of the fiscal quarter ending September 30, 2025 and (y) stepping up to (1) 1.15 to 1.00 for the fiscal quarters ending December 30, 2025 and March 31, 2026 and (2) 1.25 to 1.00 for the fiscal quarter ending June 30, 2026 and thereafter.</w:t>
      </w:r>
    </w:p>
    <w:p>
      <w:pPr>
        <w:pStyle w:val="TextBody"/>
        <w:bidi w:val="0"/>
        <w:spacing w:lineRule="auto" w:line="268" w:before="24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As of September 30, 2025, we had $109.8 million of indebtedness (excluding $1.6 million of unamortized debt issuance costs) and $3.0 million of letters of credit outstanding under our A&amp;R Credit Agreement.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9">
                <wp:simplePos x="0" y="0"/>
                <wp:positionH relativeFrom="character">
                  <wp:align>left</wp:align>
                </wp:positionH>
                <wp:positionV relativeFrom="line">
                  <wp:posOffset>635</wp:posOffset>
                </wp:positionV>
                <wp:extent cx="6480175" cy="146685"/>
                <wp:effectExtent l="0" t="0" r="0" b="0"/>
                <wp:wrapNone/>
                <wp:docPr id="28" name="Frame2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27</w:t>
                      </w:r>
                    </w:p>
                  </w:txbxContent>
                </v:textbox>
                <w10:wrap type="none"/>
              </v:rect>
            </w:pict>
          </mc:Fallback>
        </mc:AlternateContent>
      </w:r>
    </w:p>
    <w:p>
      <w:pPr>
        <w:pStyle w:val="TextBody"/>
        <w:bidi w:val="0"/>
        <w:spacing w:lineRule="auto" w:line="288" w:before="160" w:after="160"/>
        <w:jc w:val="left"/>
        <w:rPr/>
      </w:pPr>
      <w:hyperlink w:anchor="i0388035fcf6a4f6ca5f569f2895a7d6a_10">
        <w:r>
          <w:rPr>
            <w:rStyle w:val="InternetLink"/>
            <w:rFonts w:ascii="Times New Roman;serif" w:hAnsi="Times New Roman;serif"/>
            <w:b w:val="false"/>
            <w:color w:val="0000FF"/>
            <w:sz w:val="20"/>
            <w:u w:val="single"/>
          </w:rPr>
          <w:t>Table of Contents</w:t>
        </w:r>
      </w:hyperlink>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i/>
          <w:color w:val="000000"/>
          <w:sz w:val="20"/>
        </w:rPr>
      </w:pPr>
      <w:r>
        <w:rPr>
          <w:rFonts w:ascii="Times New Roman;serif" w:hAnsi="Times New Roman;serif"/>
          <w:b/>
          <w:i/>
          <w:color w:val="000000"/>
          <w:sz w:val="20"/>
        </w:rPr>
        <w:t>Off-Balance Sheet Arrangements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We had no off-balance sheet arrangements or obligations as of September 30, 2025.</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both"/>
        <w:rPr>
          <w:rFonts w:ascii="Times New Roman;serif" w:hAnsi="Times New Roman;serif"/>
          <w:b/>
          <w:color w:val="000000"/>
          <w:sz w:val="20"/>
        </w:rPr>
      </w:pPr>
      <w:r>
        <w:rPr>
          <w:rFonts w:ascii="Times New Roman;serif" w:hAnsi="Times New Roman;serif"/>
          <w:b/>
          <w:color w:val="000000"/>
          <w:sz w:val="20"/>
        </w:rPr>
        <w:t>Critical Accounting Policies and Estimates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Our condensed consolidated financial statements and accompanying notes are prepared in accordance with GAAP. Preparing consolidated financial statements requires us to make estimates and assumptions that affect the reported amounts of assets, liabilities, revenue and expenses. These estimates and assumptions are affected by the application of our accounting policies. Our significant accounting policies are described in our Annual Report on Form 10-K for the year ended December 31, 2024. Critical accounting estimates are those that require application of management’s most difficult, subjective or complex judgments, often as a result of matters that are inherently uncertain and may change in subsequent periods. While we apply our judgment based on assumptions believed to be reasonable under the circumstances, actual results could vary from these assumptions. It is possible that materially different amounts would be reported using different assumptions. Our critical accounting estimates are identified and described in our annual consolidated financial statements and the related notes included in our Annual Report on Form 10-K for our fiscal year ended December 31, 2024. </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Item 3. Quantitative and Qualitative Disclosures about Market Risk</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i/>
          <w:color w:val="000000"/>
          <w:sz w:val="20"/>
        </w:rPr>
      </w:pPr>
      <w:r>
        <w:rPr>
          <w:rFonts w:ascii="Times New Roman;serif" w:hAnsi="Times New Roman;serif"/>
          <w:b/>
          <w:i/>
          <w:color w:val="000000"/>
          <w:sz w:val="20"/>
        </w:rPr>
        <w:t>Interest Rate Risk</w:t>
      </w:r>
    </w:p>
    <w:p>
      <w:pPr>
        <w:pStyle w:val="TextBody"/>
        <w:bidi w:val="0"/>
        <w:spacing w:before="0" w:after="0"/>
        <w:jc w:val="both"/>
        <w:rPr/>
      </w:pPr>
      <w:r>
        <w:rPr/>
      </w:r>
    </w:p>
    <w:p>
      <w:pPr>
        <w:pStyle w:val="TextBody"/>
        <w:bidi w:val="0"/>
        <w:spacing w:lineRule="auto" w:line="288" w:before="0" w:after="0"/>
        <w:jc w:val="both"/>
        <w:rPr/>
      </w:pPr>
      <w:r>
        <w:rPr>
          <w:rFonts w:ascii="Times New Roman;serif" w:hAnsi="Times New Roman;serif"/>
          <w:b w:val="false"/>
          <w:color w:val="000000"/>
          <w:sz w:val="20"/>
        </w:rPr>
        <w:t xml:space="preserve">We are exposed to market risk from changes in interest rates on outstanding debt. Our exposure to interest rate fluctuations is limited to our outstanding bank debt, which bears interest at variable rates. As of September 30, 2025, we had $109.8 million of outstanding borrowings under our A&amp;R Credit Agreement, with an average interest rate during the first </w:t>
      </w:r>
      <w:r>
        <w:rPr>
          <w:rFonts w:ascii="Times New Roman;serif" w:hAnsi="Times New Roman;serif"/>
          <w:b w:val="false"/>
          <w:color w:val="000000"/>
          <w:sz w:val="20"/>
          <w:shd w:fill="FFFFFF" w:val="clear"/>
        </w:rPr>
        <w:t>three quarters of 2025</w:t>
      </w:r>
      <w:r>
        <w:rPr>
          <w:color w:val="000000"/>
        </w:rPr>
        <w:t xml:space="preserve"> </w:t>
      </w:r>
      <w:r>
        <w:rPr>
          <w:rFonts w:ascii="Times New Roman;serif" w:hAnsi="Times New Roman;serif"/>
          <w:b w:val="false"/>
          <w:color w:val="000000"/>
          <w:sz w:val="20"/>
        </w:rPr>
        <w:t>of 8.6%, compa</w:t>
      </w:r>
      <w:r>
        <w:rPr>
          <w:rFonts w:ascii="Times New Roman;serif" w:hAnsi="Times New Roman;serif"/>
          <w:b w:val="false"/>
          <w:color w:val="000000"/>
          <w:sz w:val="20"/>
          <w:shd w:fill="FFFFFF" w:val="clear"/>
        </w:rPr>
        <w:t>red to 8.7% duri</w:t>
      </w:r>
      <w:r>
        <w:rPr>
          <w:rFonts w:ascii="Times New Roman;serif" w:hAnsi="Times New Roman;serif"/>
          <w:b w:val="false"/>
          <w:color w:val="000000"/>
          <w:sz w:val="20"/>
        </w:rPr>
        <w:t xml:space="preserve">ng the first </w:t>
      </w:r>
      <w:r>
        <w:rPr>
          <w:rFonts w:ascii="Times New Roman;serif" w:hAnsi="Times New Roman;serif"/>
          <w:b w:val="false"/>
          <w:color w:val="000000"/>
          <w:sz w:val="20"/>
          <w:shd w:fill="FFFFFF" w:val="clear"/>
        </w:rPr>
        <w:t>three quarters</w:t>
      </w:r>
      <w:r>
        <w:rPr>
          <w:color w:val="000000"/>
        </w:rPr>
        <w:t xml:space="preserve"> </w:t>
      </w:r>
      <w:r>
        <w:rPr>
          <w:rFonts w:ascii="Times New Roman;serif" w:hAnsi="Times New Roman;serif"/>
          <w:b w:val="false"/>
          <w:color w:val="000000"/>
          <w:sz w:val="20"/>
        </w:rPr>
        <w:t>of 2024. An increase or decrease of 1.0% in the effective interest rate applied on these loans would have resulted in a pre-tax interest expe</w:t>
      </w:r>
      <w:r>
        <w:rPr>
          <w:rFonts w:ascii="Times New Roman;serif" w:hAnsi="Times New Roman;serif"/>
          <w:b w:val="false"/>
          <w:color w:val="000000"/>
          <w:sz w:val="20"/>
          <w:shd w:fill="FFFFFF" w:val="clear"/>
        </w:rPr>
        <w:t xml:space="preserve">nse fluctuation of approximately $1.1 million on an annualized basis. </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i/>
          <w:color w:val="000000"/>
          <w:sz w:val="20"/>
        </w:rPr>
      </w:pPr>
      <w:r>
        <w:rPr>
          <w:rFonts w:ascii="Times New Roman;serif" w:hAnsi="Times New Roman;serif"/>
          <w:b/>
          <w:i/>
          <w:color w:val="000000"/>
          <w:sz w:val="20"/>
        </w:rPr>
        <w:t>Commodity Price Risk</w:t>
      </w:r>
    </w:p>
    <w:p>
      <w:pPr>
        <w:pStyle w:val="TextBody"/>
        <w:bidi w:val="0"/>
        <w:spacing w:before="0" w:after="0"/>
        <w:jc w:val="both"/>
        <w:rPr/>
      </w:pPr>
      <w:r>
        <w:rPr/>
      </w:r>
    </w:p>
    <w:p>
      <w:pPr>
        <w:pStyle w:val="TextBody"/>
        <w:bidi w:val="0"/>
        <w:spacing w:lineRule="auto" w:line="288" w:before="0" w:after="0"/>
        <w:jc w:val="both"/>
        <w:rPr/>
      </w:pPr>
      <w:r>
        <w:rPr>
          <w:rFonts w:ascii="Times New Roman;serif" w:hAnsi="Times New Roman;serif"/>
          <w:b w:val="false"/>
          <w:color w:val="000000"/>
          <w:sz w:val="20"/>
        </w:rPr>
        <w:t>We purchase certain products that are affected by commodity prices and are, therefore, subject to price volatility caused by weather, market conditions, trade tariffs and other factors that are not considered predictable or within our control. Although these products are subject to changes in commodity prices, certain purchasing contracts or pricing arrangements contain risk management techniques designed to minimize price volatility. We use these types of purchasing techniques to control costs as an alternative to directly managing financial instruments to hedge commodity prices. In many cases, we believe we may be able to address material commodity cost increases by adjusting our menu</w:t>
      </w:r>
      <w:r>
        <w:rPr>
          <w:color w:val="000000"/>
          <w:shd w:fill="FFFFFF" w:val="clear"/>
        </w:rPr>
        <w:t xml:space="preserve"> </w:t>
      </w:r>
      <w:r>
        <w:rPr>
          <w:rFonts w:ascii="Times New Roman;serif" w:hAnsi="Times New Roman;serif"/>
          <w:b w:val="false"/>
          <w:color w:val="000000"/>
          <w:sz w:val="20"/>
          <w:shd w:fill="FFFFFF" w:val="clear"/>
        </w:rPr>
        <w:t>pricing, but multiple price increases over a short period of time may negatively affect customer behavior, as we observed in 2023. In 2024 and 2025, the commodity markets underlying our cost of food began to stabilize. However, i</w:t>
      </w:r>
      <w:r>
        <w:rPr>
          <w:rFonts w:ascii="Times New Roman;serif" w:hAnsi="Times New Roman;serif"/>
          <w:b w:val="false"/>
          <w:color w:val="000000"/>
          <w:sz w:val="20"/>
        </w:rPr>
        <w:t>ncreases in commodity prices, without adjustments to our menu prices, have and could continue to increase restaurant operating costs as a percentage of restaurant revenue.</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i/>
          <w:color w:val="000000"/>
          <w:sz w:val="20"/>
        </w:rPr>
      </w:pPr>
      <w:r>
        <w:rPr>
          <w:rFonts w:ascii="Times New Roman;serif" w:hAnsi="Times New Roman;serif"/>
          <w:b/>
          <w:i/>
          <w:color w:val="000000"/>
          <w:sz w:val="20"/>
        </w:rPr>
        <w:t>Inflation</w:t>
      </w:r>
    </w:p>
    <w:p>
      <w:pPr>
        <w:pStyle w:val="TextBody"/>
        <w:bidi w:val="0"/>
        <w:spacing w:before="0" w:after="0"/>
        <w:jc w:val="both"/>
        <w:rPr/>
      </w:pPr>
      <w:r>
        <w:rPr/>
      </w:r>
    </w:p>
    <w:p>
      <w:pPr>
        <w:pStyle w:val="TextBody"/>
        <w:bidi w:val="0"/>
        <w:spacing w:lineRule="auto" w:line="288" w:before="0" w:after="0"/>
        <w:jc w:val="both"/>
        <w:rPr/>
      </w:pPr>
      <w:r>
        <w:rPr>
          <w:rFonts w:ascii="Times New Roman;serif" w:hAnsi="Times New Roman;serif"/>
          <w:b w:val="false"/>
          <w:color w:val="000000"/>
          <w:sz w:val="20"/>
        </w:rPr>
        <w:t xml:space="preserve">The primary inflationary factors affecting our operations are food costs, labor costs, energy costs and materials and labor used in the construction of new restaurants. There is also uncertainty around tariffs and the potential impacts on our food costs. Additionally, many of our leases </w:t>
      </w:r>
      <w:r>
        <w:rPr>
          <w:rFonts w:ascii="Times New Roman;serif" w:hAnsi="Times New Roman;serif"/>
          <w:b w:val="false"/>
          <w:color w:val="000000"/>
          <w:sz w:val="20"/>
          <w:shd w:fill="FFFFFF" w:val="clear"/>
        </w:rPr>
        <w:t xml:space="preserve">require us to pay taxes, maintenance, repairs, insurance and utilities, all of which are generally subject to inflationary increases. We anticipate inflation may continue to affect our results in the near future. </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Item 4. Controls and Procedures</w:t>
      </w:r>
    </w:p>
    <w:p>
      <w:pPr>
        <w:pStyle w:val="TextBody"/>
        <w:bidi w:val="0"/>
        <w:spacing w:before="0" w:after="0"/>
        <w:jc w:val="both"/>
        <w:rPr/>
      </w:pPr>
      <w:r>
        <w:rPr/>
      </w:r>
    </w:p>
    <w:p>
      <w:pPr>
        <w:pStyle w:val="TextBody"/>
        <w:bidi w:val="0"/>
        <w:spacing w:lineRule="auto" w:line="288" w:before="0" w:after="0"/>
        <w:jc w:val="both"/>
        <w:rPr/>
      </w:pPr>
      <w:r>
        <w:rPr>
          <w:rFonts w:ascii="Times New Roman;serif" w:hAnsi="Times New Roman;serif"/>
          <w:b w:val="false"/>
          <w:color w:val="000000"/>
          <w:sz w:val="20"/>
        </w:rPr>
        <w:t>O</w:t>
      </w:r>
      <w:r>
        <w:rPr>
          <w:rFonts w:ascii="Times New Roman;serif" w:hAnsi="Times New Roman;serif"/>
          <w:b w:val="false"/>
          <w:color w:val="000000"/>
          <w:sz w:val="20"/>
          <w:shd w:fill="FFFFFF" w:val="clear"/>
        </w:rPr>
        <w:t>ur management carried out an evaluation, under the supervision and with the participation of our Chief Executive Officer and Chief Financial Officer, of the effectiveness of the design and operation of our disclosure controls and procedures as of September 30, 2025, pursuant to Rule 13a-15 under the Exchange Act. In designing and evaluating the disclosure controls and procedures, management recognized that any controls and procedures, no matter how well designed and operated, can provide only reasonable assurance of achieving the desired control objectives. In addition, the design of disclosure controls and procedures must reflect the fact that there are resource constraints and that management is required to apply its judgment in evaluating the benefits of possible controls and procedures relative to their costs.</w:t>
      </w:r>
    </w:p>
    <w:p>
      <w:pPr>
        <w:pStyle w:val="TextBody"/>
        <w:bidi w:val="0"/>
        <w:spacing w:before="0" w:after="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0">
                <wp:simplePos x="0" y="0"/>
                <wp:positionH relativeFrom="character">
                  <wp:align>left</wp:align>
                </wp:positionH>
                <wp:positionV relativeFrom="line">
                  <wp:posOffset>635</wp:posOffset>
                </wp:positionV>
                <wp:extent cx="6480175" cy="146685"/>
                <wp:effectExtent l="0" t="0" r="0" b="0"/>
                <wp:wrapNone/>
                <wp:docPr id="29" name="Frame2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28</w:t>
                      </w:r>
                    </w:p>
                  </w:txbxContent>
                </v:textbox>
                <w10:wrap type="none"/>
              </v:rect>
            </w:pict>
          </mc:Fallback>
        </mc:AlternateContent>
      </w:r>
    </w:p>
    <w:p>
      <w:pPr>
        <w:pStyle w:val="TextBody"/>
        <w:bidi w:val="0"/>
        <w:spacing w:lineRule="auto" w:line="288" w:before="160" w:after="160"/>
        <w:jc w:val="left"/>
        <w:rPr/>
      </w:pPr>
      <w:hyperlink w:anchor="i0388035fcf6a4f6ca5f569f2895a7d6a_10">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jc w:val="both"/>
        <w:rPr/>
      </w:pPr>
      <w:r>
        <w:rPr>
          <w:rFonts w:ascii="Times New Roman;serif" w:hAnsi="Times New Roman;serif"/>
          <w:b w:val="false"/>
          <w:color w:val="000000"/>
          <w:sz w:val="20"/>
          <w:shd w:fill="FFFFFF" w:val="clear"/>
        </w:rPr>
        <w:t>Based on that evaluation, our Chief Executive Officer and Chief Financial Officer concluded that our disclosure controls and procedures were effective as of September 30, 2025 to provide reasonable assurance that information we are required to dis</w:t>
      </w:r>
      <w:r>
        <w:rPr>
          <w:rFonts w:ascii="Times New Roman;serif" w:hAnsi="Times New Roman;serif"/>
          <w:b w:val="false"/>
          <w:color w:val="000000"/>
          <w:sz w:val="20"/>
        </w:rPr>
        <w:t>close in reports that we file or submit under the Exchange Act is recorded, processed, summarized and reported within the time periods specified in SEC rules and forms, and that such information is accumulated and communicated to our management, including our Chief Executive Officer and Chief Financial Officer, as appropriate, to allow timely decisions regarding required disclosure.</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i/>
          <w:color w:val="000000"/>
          <w:sz w:val="20"/>
        </w:rPr>
      </w:pPr>
      <w:r>
        <w:rPr>
          <w:rFonts w:ascii="Times New Roman;serif" w:hAnsi="Times New Roman;serif"/>
          <w:b/>
          <w:i/>
          <w:color w:val="000000"/>
          <w:sz w:val="20"/>
        </w:rPr>
        <w:t>Changes in Internal Control Over Financial Reporting</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There have been no changes in our internal control over financial reporting (as defined in Rule 13a-15(f) of the Exchange Act) that occurred during our most recent fiscal quarter that have materially affected, or are reasonably likely to materially affect, our internal control over financial reporting.</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1">
                <wp:simplePos x="0" y="0"/>
                <wp:positionH relativeFrom="character">
                  <wp:align>left</wp:align>
                </wp:positionH>
                <wp:positionV relativeFrom="line">
                  <wp:posOffset>635</wp:posOffset>
                </wp:positionV>
                <wp:extent cx="6480175" cy="146685"/>
                <wp:effectExtent l="0" t="0" r="0" b="0"/>
                <wp:wrapNone/>
                <wp:docPr id="30" name="Frame3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29</w:t>
                      </w:r>
                    </w:p>
                  </w:txbxContent>
                </v:textbox>
                <w10:wrap type="none"/>
              </v:rect>
            </w:pict>
          </mc:Fallback>
        </mc:AlternateContent>
      </w:r>
    </w:p>
    <w:p>
      <w:pPr>
        <w:pStyle w:val="TextBody"/>
        <w:bidi w:val="0"/>
        <w:spacing w:lineRule="auto" w:line="288" w:before="160" w:after="160"/>
        <w:jc w:val="left"/>
        <w:rPr/>
      </w:pPr>
      <w:hyperlink w:anchor="i0388035fcf6a4f6ca5f569f2895a7d6a_10">
        <w:r>
          <w:rPr>
            <w:rStyle w:val="InternetLink"/>
            <w:rFonts w:ascii="Times New Roman;serif" w:hAnsi="Times New Roman;serif"/>
            <w:b w:val="false"/>
            <w:color w:val="0000FF"/>
            <w:sz w:val="20"/>
            <w:u w:val="single"/>
          </w:rPr>
          <w:t>Table of Contents</w:t>
        </w:r>
      </w:hyperlink>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color w:val="000000"/>
          <w:sz w:val="20"/>
        </w:rPr>
      </w:pPr>
      <w:r>
        <w:rPr>
          <w:rFonts w:ascii="Times New Roman;serif" w:hAnsi="Times New Roman;serif"/>
          <w:b/>
          <w:color w:val="000000"/>
          <w:sz w:val="20"/>
        </w:rPr>
        <w:t>PART II</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both"/>
        <w:rPr>
          <w:rFonts w:ascii="Times New Roman;serif" w:hAnsi="Times New Roman;serif"/>
          <w:b/>
          <w:color w:val="000000"/>
          <w:sz w:val="20"/>
        </w:rPr>
      </w:pPr>
      <w:r>
        <w:rPr>
          <w:rFonts w:ascii="Times New Roman;serif" w:hAnsi="Times New Roman;serif"/>
          <w:b/>
          <w:color w:val="000000"/>
          <w:sz w:val="20"/>
        </w:rPr>
        <w:t>Item 1. Legal Proceedings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We are currently not a party to any material legal proceedings. From time to time, we may become involved in legal proceedings arising in the ordinary course of our business. Regardless of outcome, litigation can have an adverse impact on us due to defense and settlement costs, diversion of management resources, negative publicity, reputational harm and other factors, and there can be no assurances that favorable outcomes will be obtained.</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both"/>
        <w:rPr>
          <w:rFonts w:ascii="Times New Roman;serif" w:hAnsi="Times New Roman;serif"/>
          <w:b/>
          <w:color w:val="000000"/>
          <w:sz w:val="20"/>
        </w:rPr>
      </w:pPr>
      <w:r>
        <w:rPr>
          <w:rFonts w:ascii="Times New Roman;serif" w:hAnsi="Times New Roman;serif"/>
          <w:b/>
          <w:color w:val="000000"/>
          <w:sz w:val="20"/>
        </w:rPr>
        <w:t>Item 1A. Risk Factors</w:t>
      </w:r>
    </w:p>
    <w:p>
      <w:pPr>
        <w:pStyle w:val="TextBody"/>
        <w:bidi w:val="0"/>
        <w:spacing w:before="0" w:after="0"/>
        <w:jc w:val="both"/>
        <w:rPr/>
      </w:pPr>
      <w:r>
        <w:rPr/>
      </w:r>
    </w:p>
    <w:p>
      <w:pPr>
        <w:pStyle w:val="TextBody"/>
        <w:bidi w:val="0"/>
        <w:spacing w:lineRule="auto" w:line="288" w:before="0" w:after="0"/>
        <w:jc w:val="both"/>
        <w:rPr/>
      </w:pPr>
      <w:r>
        <w:rPr>
          <w:rFonts w:ascii="Times New Roman;serif" w:hAnsi="Times New Roman;serif"/>
          <w:b w:val="false"/>
          <w:color w:val="000000"/>
          <w:sz w:val="20"/>
        </w:rPr>
        <w:t>A description of the risk factors associated with our business is contained in the “Risk Factors” section of our</w:t>
      </w:r>
      <w:r>
        <w:rPr>
          <w:color w:val="000000"/>
        </w:rPr>
        <w:t xml:space="preserve"> </w:t>
      </w:r>
      <w:r>
        <w:rPr>
          <w:rFonts w:ascii="Times New Roman;serif" w:hAnsi="Times New Roman;serif"/>
          <w:b w:val="false"/>
          <w:color w:val="000000"/>
          <w:sz w:val="20"/>
        </w:rPr>
        <w:t>Annual Report on Form 10-K for our fiscal year ended December 31, 2024. Except for the Risk Factors set forth below, there have been no material changes to our Risk Factors as previously reported in our Annual Report on Form 10-K for our fiscal year ended December 31, 2024 and subsequent Quarterly Reports on Form 10-Q.</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i/>
          <w:color w:val="000000"/>
          <w:sz w:val="20"/>
        </w:rPr>
      </w:pPr>
      <w:r>
        <w:rPr>
          <w:rFonts w:ascii="Times New Roman;serif" w:hAnsi="Times New Roman;serif"/>
          <w:b/>
          <w:i/>
          <w:color w:val="000000"/>
          <w:sz w:val="20"/>
        </w:rPr>
        <w:t>There can be no assurance that our review of strategic alternatives or any initiatives or transactions that we pursue will result in additional stockholder value or that the process or any actions that we take will not have an adverse impact on our business.</w:t>
      </w:r>
    </w:p>
    <w:p>
      <w:pPr>
        <w:pStyle w:val="TextBody"/>
        <w:bidi w:val="0"/>
        <w:spacing w:before="0" w:after="0"/>
        <w:jc w:val="both"/>
        <w:rPr/>
      </w:pPr>
      <w:r>
        <w:rPr/>
      </w:r>
    </w:p>
    <w:p>
      <w:pPr>
        <w:pStyle w:val="TextBody"/>
        <w:bidi w:val="0"/>
        <w:spacing w:lineRule="auto" w:line="288" w:before="0" w:after="0"/>
        <w:jc w:val="both"/>
        <w:rPr/>
      </w:pPr>
      <w:r>
        <w:rPr>
          <w:rFonts w:ascii="Times New Roman;serif" w:hAnsi="Times New Roman;serif"/>
          <w:b w:val="false"/>
          <w:color w:val="000000"/>
          <w:sz w:val="20"/>
          <w:shd w:fill="FFFFFF" w:val="clear"/>
        </w:rPr>
        <w:t>On September 3, 2025, we announced that our Board of Directors had initiated a review of strategic alternatives in order to explore ways to maximize stockholder value. The review will include a range of potential strategic alternatives, including a refinancing of existing indebtedness, refranchising or sale of all or part of the business, and/or other strategic or financial transactions.</w:t>
      </w:r>
      <w:r>
        <w:rPr>
          <w:color w:val="000000"/>
        </w:rPr>
        <w:t xml:space="preserve"> </w:t>
      </w:r>
      <w:r>
        <w:rPr>
          <w:rFonts w:ascii="Times New Roman;serif" w:hAnsi="Times New Roman;serif"/>
          <w:b w:val="false"/>
          <w:color w:val="000000"/>
          <w:sz w:val="20"/>
        </w:rPr>
        <w:t>The process of reviewing strategic alternatives has been and may continue to be time consuming and disruptive to our business operations and, if we are unable to effectively manage the process, our business, financial condition and results of operations could be adversely affected</w:t>
      </w:r>
      <w:r>
        <w:rPr>
          <w:rFonts w:ascii="Times New Roman;serif" w:hAnsi="Times New Roman;serif"/>
          <w:b w:val="false"/>
          <w:color w:val="000000"/>
          <w:sz w:val="20"/>
          <w:shd w:fill="FFFFFF" w:val="clear"/>
        </w:rPr>
        <w:t>. We may incur substantial expenses associated with a potential strategic alternative. T</w:t>
      </w:r>
      <w:r>
        <w:rPr>
          <w:rFonts w:ascii="Times New Roman;serif" w:hAnsi="Times New Roman;serif"/>
          <w:b w:val="false"/>
          <w:color w:val="000000"/>
          <w:sz w:val="20"/>
        </w:rPr>
        <w:t xml:space="preserve">his process could also increase our exposure to potential litigation. There can be no assurance that any suitable transaction will be identified or that any transaction that we may pursue will provide greater value to our stockholders than that reflected in the current price of our common stock or otherwise be successfully implemented. </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For example, if we are able to access additional liquidity, agreements governing any borrowing arrangement could contain covenants restricting our operations. If we raise additional funds through future issuances of equity or convertible debt securities, our existing stockholders could suffer significant dilution, and any new equity securities we issue could have rights, preferences and privileges superior to those of holders of our common stock. Any debt financing we secure in the future could involve higher interest rates, especially given the current inflationary environment, and restrictive covenants relating to our capital-raising activities and other financial and operational matters, which might make it more difficult for us to obtain additional capital and to pursue business opportunities. Moreover, if we issue new debt securities, the debt holders would have rights senior to common stockholders to make claims on our assets.</w:t>
      </w:r>
    </w:p>
    <w:p>
      <w:pPr>
        <w:pStyle w:val="TextBody"/>
        <w:bidi w:val="0"/>
        <w:spacing w:before="0" w:after="0"/>
        <w:jc w:val="both"/>
        <w:rPr/>
      </w:pPr>
      <w:r>
        <w:rPr/>
      </w:r>
    </w:p>
    <w:p>
      <w:pPr>
        <w:pStyle w:val="TextBody"/>
        <w:bidi w:val="0"/>
        <w:spacing w:lineRule="auto" w:line="288" w:before="0" w:after="0"/>
        <w:jc w:val="both"/>
        <w:rPr/>
      </w:pPr>
      <w:r>
        <w:rPr>
          <w:rFonts w:ascii="Times New Roman;serif" w:hAnsi="Times New Roman;serif"/>
          <w:b w:val="false"/>
          <w:color w:val="000000"/>
          <w:sz w:val="20"/>
        </w:rPr>
        <w:t xml:space="preserve">Until the review process is concluded, perceived uncertainties related to our future may result in volatility in the market price of </w:t>
      </w:r>
      <w:r>
        <w:rPr>
          <w:rFonts w:ascii="Times New Roman;serif" w:hAnsi="Times New Roman;serif"/>
          <w:b w:val="false"/>
          <w:color w:val="000000"/>
          <w:sz w:val="20"/>
          <w:shd w:fill="FFFFFF" w:val="clear"/>
        </w:rPr>
        <w:t>our common stock and may make it more difficult for us to attract and retain qualified personnel and business partners.</w:t>
      </w:r>
    </w:p>
    <w:p>
      <w:pPr>
        <w:pStyle w:val="TextBody"/>
        <w:bidi w:val="0"/>
        <w:spacing w:before="0" w:after="0"/>
        <w:jc w:val="left"/>
        <w:rPr/>
      </w:pPr>
      <w:r>
        <w:rPr/>
      </w:r>
    </w:p>
    <w:p>
      <w:pPr>
        <w:pStyle w:val="TextBody"/>
        <w:bidi w:val="0"/>
        <w:spacing w:lineRule="auto" w:line="288" w:before="0" w:after="0"/>
        <w:jc w:val="both"/>
        <w:rPr>
          <w:rFonts w:ascii="Times New Roman;serif" w:hAnsi="Times New Roman;serif"/>
          <w:b/>
          <w:i/>
          <w:color w:val="000000"/>
          <w:sz w:val="20"/>
          <w:shd w:fill="FFFFFF" w:val="clear"/>
        </w:rPr>
      </w:pPr>
      <w:r>
        <w:rPr>
          <w:rFonts w:ascii="Times New Roman;serif" w:hAnsi="Times New Roman;serif"/>
          <w:b/>
          <w:i/>
          <w:color w:val="000000"/>
          <w:sz w:val="20"/>
          <w:shd w:fill="FFFFFF" w:val="clear"/>
        </w:rPr>
        <w:t>Our indebtedness and credit facility contain financial covenants and other restrictions on our actions that may limit our financial and operational flexibility or otherwise adversely affect our liquidity and results of operations. Further, we may be unable to negotiate favorable borrowing terms, and any additional capital we may require could be senior to existing equity holders, dilute existing equity holders or include unfavorable restrictions.</w:t>
      </w:r>
    </w:p>
    <w:p>
      <w:pPr>
        <w:pStyle w:val="TextBody"/>
        <w:bidi w:val="0"/>
        <w:spacing w:before="0" w:after="0"/>
        <w:jc w:val="left"/>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As a general matter, operating and developing our business requires significant capital. Our A&amp;R Credit Agreement ends in 2027 and securing access to credit on reasonable terms thereafter will require us to extend or refinance such agreement. In addition, in order to pursue our business and operational strategies, we may need additional sources of liquidity in the future and it may be difficult or impossible at such time to increase our liquidity. Our lenders may not agree to amend our credit agreement at such time to increase our borrowing capacity. </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Further, our requirements for additional liquidity may coincide with periods during which we are not in compliance with covenants under our credit agreement and our lenders may not agree to further amend our credit agreement to accommodate such non-compliance. We amended our credit agreement in 2023 and 2024, which resulted in an increase in our borrowing rates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2">
                <wp:simplePos x="0" y="0"/>
                <wp:positionH relativeFrom="character">
                  <wp:align>left</wp:align>
                </wp:positionH>
                <wp:positionV relativeFrom="line">
                  <wp:posOffset>635</wp:posOffset>
                </wp:positionV>
                <wp:extent cx="6480175" cy="146685"/>
                <wp:effectExtent l="0" t="0" r="0" b="0"/>
                <wp:wrapNone/>
                <wp:docPr id="31" name="Frame3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30</w:t>
                      </w:r>
                    </w:p>
                  </w:txbxContent>
                </v:textbox>
                <w10:wrap type="none"/>
              </v:rect>
            </w:pict>
          </mc:Fallback>
        </mc:AlternateContent>
      </w:r>
    </w:p>
    <w:p>
      <w:pPr>
        <w:pStyle w:val="TextBody"/>
        <w:bidi w:val="0"/>
        <w:spacing w:lineRule="auto" w:line="288" w:before="160" w:after="160"/>
        <w:jc w:val="left"/>
        <w:rPr/>
      </w:pPr>
      <w:hyperlink w:anchor="i0388035fcf6a4f6ca5f569f2895a7d6a_10">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and modifications to both the Fixed Charge and Consolidated Total Lease Adjusted Leverage ratios and restrictions related to new restaurant growth and new leases, and these restrictions become more stringent beginning in the fourth quarter of 2025. </w:t>
      </w:r>
    </w:p>
    <w:p>
      <w:pPr>
        <w:pStyle w:val="TextBody"/>
        <w:bidi w:val="0"/>
        <w:spacing w:before="0" w:after="0"/>
        <w:jc w:val="both"/>
        <w:rPr/>
      </w:pPr>
      <w:r>
        <w:rPr/>
      </w:r>
    </w:p>
    <w:p>
      <w:pPr>
        <w:pStyle w:val="TextBody"/>
        <w:bidi w:val="0"/>
        <w:spacing w:lineRule="auto" w:line="288" w:before="0" w:after="0"/>
        <w:jc w:val="both"/>
        <w:rPr/>
      </w:pPr>
      <w:r>
        <w:rPr>
          <w:rFonts w:ascii="Times New Roman;serif" w:hAnsi="Times New Roman;serif"/>
          <w:b w:val="false"/>
          <w:color w:val="000000"/>
          <w:sz w:val="20"/>
        </w:rPr>
        <w:t>We were in compliance with our covenants as of September 30, 2025, and expect to continue to be in compliance through</w:t>
      </w:r>
      <w:r>
        <w:rPr>
          <w:color w:val="000000"/>
          <w:shd w:fill="FFFFFF" w:val="clear"/>
        </w:rPr>
        <w:t xml:space="preserve"> </w:t>
      </w:r>
      <w:r>
        <w:rPr>
          <w:rFonts w:ascii="Times New Roman;serif" w:hAnsi="Times New Roman;serif"/>
          <w:b w:val="false"/>
          <w:color w:val="000000"/>
          <w:sz w:val="20"/>
          <w:shd w:fill="FFFFFF" w:val="clear"/>
        </w:rPr>
        <w:t>the next twelve months; however there is no assurance that we will be able to do so.</w:t>
      </w:r>
      <w:r>
        <w:rPr>
          <w:color w:val="000000"/>
        </w:rPr>
        <w:t xml:space="preserve"> </w:t>
      </w:r>
      <w:r>
        <w:rPr>
          <w:rFonts w:ascii="Times New Roman;serif" w:hAnsi="Times New Roman;serif"/>
          <w:b w:val="false"/>
          <w:color w:val="000000"/>
          <w:sz w:val="20"/>
        </w:rPr>
        <w:t>The required Consolidated Total Lease Adjusted Leverage Ratio (as defined in the A&amp;R Credit Agreement) steps down from the current requirement of 5.50 to 1.00 to 5.25 to 1.00 for the fourth quarter of fiscal year 2025, and then further steps down to 5:00 to 1.00 for the first two quarters of fiscal 2026. The required Minimum Consolidated Fixed Charge Coverage Ratio (as defined in the A&amp;R Credit Agreement) steps up from the current requirement of 1.05 to 1.00 to 1.15 to 1.00 for the fourth quarter of fiscal year 2025 and the first quarter of fiscal 2026, and then further steps up to 1.25 to 1.00 for the second quarter of fiscal 2026. Our ability to comply with these covenants or, if we are not in compliance, our ability to obtain covenant waivers or modifications depends on many factors, some of which are beyond our control, including without limitation macroeconomic conditions, operating performance and the effectiveness of our strategic initiatives. The A&amp;R Credit Agreement contains various events of default that include, among others, non-payment of principal or interest, breach of covenants, inaccuracy of representations and warranties, cross defaults to certain other indebtedness, bankruptcy and insolvency events, material judgments, and events constituting a change of control, in each case subject to thresholds and cure periods as set forth in the A&amp;R Credit Agreement. Upon the occurrence and during the continuance of such an event of default, our lenders would have the right to terminate their commitments and accelerate our obligations under the A&amp;R Credit Agreement as well as exercise other rights and remedies provided for under the A&amp;R Credit Agreement, the other loan documents and applicable law. If outstanding borrowings under the A&amp;R Credit Agreement were to be accelerated, we may not have sufficient cash on hand or be able to borrow sufficient funds to refinance the debt or sell sufficient assets to repay the debt, which could immediately adversely affect our business, cash flows, results of operations, and financial condition.</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Even if we are able to access additional liquidity, agreements governing any borrowing arrangement could contain covenants restricting our operations. If we raise additional funds through future issuances of equity or convertible debt securities, our existing stockholders could suffer significant dilution, and any new equity securities we issue could have rights, preferences and privileges superior to those of holders of our common stock. Any debt financing we secure in the future could involve higher interest rates, especially given the current inflationary environment, and restrictive covenants relating to our capital-raising activities and other financial and operational matters, which might make it more difficult for us to obtain additional capital and to pursue business opportunities. Moreover, if we issue new debt securities, the debt holders would have rights senior to common stockholders to make claims on our assets. </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both"/>
        <w:rPr>
          <w:rFonts w:ascii="Times New Roman;serif" w:hAnsi="Times New Roman;serif"/>
          <w:b/>
          <w:color w:val="000000"/>
          <w:sz w:val="20"/>
        </w:rPr>
      </w:pPr>
      <w:r>
        <w:rPr>
          <w:rFonts w:ascii="Times New Roman;serif" w:hAnsi="Times New Roman;serif"/>
          <w:b/>
          <w:color w:val="000000"/>
          <w:sz w:val="20"/>
        </w:rPr>
        <w:t>Item 2. Unregistered Sales of Equity Securities and Use of Proceeds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None.</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both"/>
        <w:rPr>
          <w:rFonts w:ascii="Times New Roman;serif" w:hAnsi="Times New Roman;serif"/>
          <w:b/>
          <w:color w:val="000000"/>
          <w:sz w:val="20"/>
        </w:rPr>
      </w:pPr>
      <w:r>
        <w:rPr>
          <w:rFonts w:ascii="Times New Roman;serif" w:hAnsi="Times New Roman;serif"/>
          <w:b/>
          <w:color w:val="000000"/>
          <w:sz w:val="20"/>
        </w:rPr>
        <w:t>Item 3. Defaults upon Senior Securities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None.</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both"/>
        <w:rPr>
          <w:rFonts w:ascii="Times New Roman;serif" w:hAnsi="Times New Roman;serif"/>
          <w:b/>
          <w:color w:val="000000"/>
          <w:sz w:val="20"/>
        </w:rPr>
      </w:pPr>
      <w:r>
        <w:rPr>
          <w:rFonts w:ascii="Times New Roman;serif" w:hAnsi="Times New Roman;serif"/>
          <w:b/>
          <w:color w:val="000000"/>
          <w:sz w:val="20"/>
        </w:rPr>
        <w:t>Item 4. Mine Safety Disclosures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Not applicable.</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both"/>
        <w:rPr>
          <w:rFonts w:ascii="Times New Roman;serif" w:hAnsi="Times New Roman;serif"/>
          <w:b/>
          <w:color w:val="000000"/>
          <w:sz w:val="20"/>
        </w:rPr>
      </w:pPr>
      <w:r>
        <w:rPr>
          <w:rFonts w:ascii="Times New Roman;serif" w:hAnsi="Times New Roman;serif"/>
          <w:b/>
          <w:color w:val="000000"/>
          <w:sz w:val="20"/>
        </w:rPr>
        <w:t>Item 5. Other Information</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color w:val="000000"/>
          <w:sz w:val="20"/>
        </w:rPr>
      </w:pPr>
      <w:r>
        <w:rPr>
          <w:rFonts w:ascii="Times New Roman;serif" w:hAnsi="Times New Roman;serif"/>
          <w:b/>
          <w:color w:val="000000"/>
          <w:sz w:val="20"/>
        </w:rPr>
        <w:t>Director and Executive Officer Trading</w:t>
      </w:r>
    </w:p>
    <w:p>
      <w:pPr>
        <w:pStyle w:val="TextBody"/>
        <w:bidi w:val="0"/>
        <w:spacing w:before="0" w:after="0"/>
        <w:jc w:val="left"/>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During the quarter ended September 30, 2025, no director or officer adopted or terminated any Rule 10b5-1 or non-Rule 10b5-1 trading arrangements (as defined in Item 408 of Regulation S-K). </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3">
                <wp:simplePos x="0" y="0"/>
                <wp:positionH relativeFrom="character">
                  <wp:align>left</wp:align>
                </wp:positionH>
                <wp:positionV relativeFrom="line">
                  <wp:posOffset>635</wp:posOffset>
                </wp:positionV>
                <wp:extent cx="6480175" cy="146685"/>
                <wp:effectExtent l="0" t="0" r="0" b="0"/>
                <wp:wrapNone/>
                <wp:docPr id="32" name="Frame3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31</w:t>
                      </w:r>
                    </w:p>
                  </w:txbxContent>
                </v:textbox>
                <w10:wrap type="none"/>
              </v:rect>
            </w:pict>
          </mc:Fallback>
        </mc:AlternateContent>
      </w:r>
    </w:p>
    <w:p>
      <w:pPr>
        <w:pStyle w:val="TextBody"/>
        <w:bidi w:val="0"/>
        <w:spacing w:lineRule="auto" w:line="288" w:before="0" w:after="0"/>
        <w:jc w:val="left"/>
        <w:rPr/>
      </w:pPr>
      <w:hyperlink w:anchor="i0388035fcf6a4f6ca5f569f2895a7d6a_10">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 xml:space="preserve">Item 6. Exhibit Index </w:t>
      </w:r>
    </w:p>
    <w:tbl>
      <w:tblPr>
        <w:tblW w:w="10205" w:type="dxa"/>
        <w:jc w:val="left"/>
        <w:tblInd w:w="0" w:type="dxa"/>
        <w:tblLayout w:type="fixed"/>
        <w:tblCellMar>
          <w:top w:w="28" w:type="dxa"/>
          <w:left w:w="28" w:type="dxa"/>
          <w:bottom w:w="28" w:type="dxa"/>
          <w:right w:w="28" w:type="dxa"/>
        </w:tblCellMar>
      </w:tblPr>
      <w:tblGrid>
        <w:gridCol w:w="438"/>
        <w:gridCol w:w="343"/>
        <w:gridCol w:w="344"/>
        <w:gridCol w:w="109"/>
        <w:gridCol w:w="109"/>
        <w:gridCol w:w="109"/>
        <w:gridCol w:w="2684"/>
        <w:gridCol w:w="2504"/>
        <w:gridCol w:w="3565"/>
      </w:tblGrid>
      <w:tr>
        <w:trPr/>
        <w:tc>
          <w:tcPr>
            <w:tcW w:w="438" w:type="dxa"/>
            <w:tcBorders/>
            <w:vAlign w:val="center"/>
          </w:tcPr>
          <w:p>
            <w:pPr>
              <w:pStyle w:val="TableContents"/>
              <w:bidi w:val="0"/>
              <w:spacing w:before="0" w:after="283"/>
              <w:jc w:val="left"/>
              <w:rPr>
                <w:sz w:val="4"/>
                <w:szCs w:val="4"/>
              </w:rPr>
            </w:pPr>
            <w:r>
              <w:rPr>
                <w:sz w:val="4"/>
                <w:szCs w:val="4"/>
              </w:rPr>
            </w:r>
          </w:p>
        </w:tc>
        <w:tc>
          <w:tcPr>
            <w:tcW w:w="343" w:type="dxa"/>
            <w:tcBorders/>
            <w:vAlign w:val="center"/>
          </w:tcPr>
          <w:p>
            <w:pPr>
              <w:pStyle w:val="TableContents"/>
              <w:bidi w:val="0"/>
              <w:spacing w:before="0" w:after="283"/>
              <w:jc w:val="left"/>
              <w:rPr>
                <w:sz w:val="4"/>
                <w:szCs w:val="4"/>
              </w:rPr>
            </w:pPr>
            <w:r>
              <w:rPr>
                <w:sz w:val="4"/>
                <w:szCs w:val="4"/>
              </w:rPr>
            </w:r>
          </w:p>
        </w:tc>
        <w:tc>
          <w:tcPr>
            <w:tcW w:w="34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84" w:type="dxa"/>
            <w:tcBorders/>
            <w:vAlign w:val="center"/>
          </w:tcPr>
          <w:p>
            <w:pPr>
              <w:pStyle w:val="TableContents"/>
              <w:bidi w:val="0"/>
              <w:spacing w:before="0" w:after="283"/>
              <w:jc w:val="left"/>
              <w:rPr>
                <w:sz w:val="4"/>
                <w:szCs w:val="4"/>
              </w:rPr>
            </w:pPr>
            <w:r>
              <w:rPr>
                <w:sz w:val="4"/>
                <w:szCs w:val="4"/>
              </w:rPr>
            </w:r>
          </w:p>
        </w:tc>
        <w:tc>
          <w:tcPr>
            <w:tcW w:w="2504" w:type="dxa"/>
            <w:tcBorders/>
            <w:vAlign w:val="center"/>
          </w:tcPr>
          <w:p>
            <w:pPr>
              <w:pStyle w:val="TableContents"/>
              <w:bidi w:val="0"/>
              <w:spacing w:before="0" w:after="283"/>
              <w:jc w:val="left"/>
              <w:rPr>
                <w:sz w:val="4"/>
                <w:szCs w:val="4"/>
              </w:rPr>
            </w:pPr>
            <w:r>
              <w:rPr>
                <w:sz w:val="4"/>
                <w:szCs w:val="4"/>
              </w:rPr>
            </w:r>
          </w:p>
        </w:tc>
        <w:tc>
          <w:tcPr>
            <w:tcW w:w="3565" w:type="dxa"/>
            <w:tcBorders/>
            <w:vAlign w:val="center"/>
          </w:tcPr>
          <w:p>
            <w:pPr>
              <w:pStyle w:val="TableContents"/>
              <w:bidi w:val="0"/>
              <w:spacing w:before="0" w:after="283"/>
              <w:jc w:val="left"/>
              <w:rPr>
                <w:sz w:val="4"/>
                <w:szCs w:val="4"/>
              </w:rPr>
            </w:pPr>
            <w:r>
              <w:rPr>
                <w:sz w:val="4"/>
                <w:szCs w:val="4"/>
              </w:rPr>
            </w:r>
          </w:p>
        </w:tc>
      </w:tr>
      <w:tr>
        <w:trPr/>
        <w:tc>
          <w:tcPr>
            <w:tcW w:w="112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Exhibit Number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5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Description of Exhibit</w:t>
            </w:r>
          </w:p>
        </w:tc>
      </w:tr>
      <w:tr>
        <w:trPr/>
        <w:tc>
          <w:tcPr>
            <w:tcW w:w="1125" w:type="dxa"/>
            <w:gridSpan w:val="3"/>
            <w:tcBorders/>
            <w:tcMar>
              <w:top w:w="0" w:type="dxa"/>
              <w:left w:w="0" w:type="dxa"/>
              <w:bottom w:w="0" w:type="dxa"/>
              <w:right w:w="0" w:type="dxa"/>
            </w:tcMar>
            <w:vAlign w:val="center"/>
          </w:tcPr>
          <w:p>
            <w:pPr>
              <w:pStyle w:val="TableContents"/>
              <w:bidi w:val="0"/>
              <w:spacing w:lineRule="auto" w:line="240" w:before="0" w:after="0"/>
              <w:jc w:val="right"/>
              <w:rPr>
                <w:rFonts w:ascii="Times New Roman;serif" w:hAnsi="Times New Roman;serif"/>
                <w:b w:val="false"/>
                <w:color w:val="000000"/>
                <w:sz w:val="20"/>
              </w:rPr>
            </w:pPr>
            <w:r>
              <w:rPr>
                <w:rFonts w:ascii="Times New Roman;serif" w:hAnsi="Times New Roman;serif"/>
                <w:b w:val="false"/>
                <w:color w:val="000000"/>
                <w:sz w:val="20"/>
              </w:rPr>
              <w:t>10.1*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53"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2">
              <w:r>
                <w:rPr>
                  <w:rStyle w:val="InternetLink"/>
                  <w:rFonts w:ascii="Times New Roman;serif" w:hAnsi="Times New Roman;serif"/>
                  <w:b w:val="false"/>
                  <w:color w:val="0000FF"/>
                  <w:sz w:val="20"/>
                  <w:u w:val="single"/>
                </w:rPr>
                <w:t>Transition Agreement between Noodles &amp; Company and Drew Madsen dated August 5, 2025</w:t>
              </w:r>
            </w:hyperlink>
            <w:r>
              <w:rPr>
                <w:color w:val="000000"/>
              </w:rPr>
              <w:t xml:space="preserve"> </w:t>
            </w:r>
            <w:r>
              <w:rPr>
                <w:rFonts w:ascii="Times New Roman;serif" w:hAnsi="Times New Roman;serif"/>
                <w:b w:val="false"/>
                <w:color w:val="000000"/>
                <w:sz w:val="20"/>
              </w:rPr>
              <w:t>(incorporated by reference to Exhibit 10.4 of the Company’s Form 10-Q filed on August 14, 2025 (File No. 001-35987)).</w:t>
            </w:r>
          </w:p>
        </w:tc>
      </w:tr>
      <w:tr>
        <w:trPr/>
        <w:tc>
          <w:tcPr>
            <w:tcW w:w="1125" w:type="dxa"/>
            <w:gridSpan w:val="3"/>
            <w:tcBorders/>
            <w:tcMar>
              <w:top w:w="0" w:type="dxa"/>
              <w:left w:w="0" w:type="dxa"/>
              <w:bottom w:w="0" w:type="dxa"/>
              <w:right w:w="0" w:type="dxa"/>
            </w:tcMar>
            <w:vAlign w:val="center"/>
          </w:tcPr>
          <w:p>
            <w:pPr>
              <w:pStyle w:val="TableContents"/>
              <w:bidi w:val="0"/>
              <w:spacing w:lineRule="auto" w:line="240" w:before="0" w:after="0"/>
              <w:jc w:val="right"/>
              <w:rPr>
                <w:rFonts w:ascii="Times New Roman;serif" w:hAnsi="Times New Roman;serif"/>
                <w:b w:val="false"/>
                <w:color w:val="000000"/>
                <w:sz w:val="20"/>
              </w:rPr>
            </w:pPr>
            <w:r>
              <w:rPr>
                <w:rFonts w:ascii="Times New Roman;serif" w:hAnsi="Times New Roman;serif"/>
                <w:b w:val="false"/>
                <w:color w:val="000000"/>
                <w:sz w:val="20"/>
              </w:rPr>
              <w:t>10.2*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53"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3">
              <w:r>
                <w:rPr>
                  <w:rStyle w:val="InternetLink"/>
                  <w:rFonts w:ascii="Times New Roman;serif" w:hAnsi="Times New Roman;serif"/>
                  <w:b w:val="false"/>
                  <w:color w:val="0000FF"/>
                  <w:sz w:val="20"/>
                  <w:u w:val="single"/>
                </w:rPr>
                <w:t>Amended and Restated Employment Agreement between Noodles &amp; Company and Joseph Christina dated August 5, 2025</w:t>
              </w:r>
            </w:hyperlink>
            <w:r>
              <w:rPr>
                <w:color w:val="000000"/>
              </w:rPr>
              <w:t xml:space="preserve"> </w:t>
            </w:r>
            <w:r>
              <w:rPr>
                <w:rFonts w:ascii="Times New Roman;serif" w:hAnsi="Times New Roman;serif"/>
                <w:b w:val="false"/>
                <w:color w:val="000000"/>
                <w:sz w:val="20"/>
              </w:rPr>
              <w:t>(incorporated by reference to Exhibit 10.5 of the Company’s Form 10-Q filed on August 14, 2025 (File No. 001-35987))</w:t>
            </w:r>
          </w:p>
        </w:tc>
      </w:tr>
      <w:tr>
        <w:trPr/>
        <w:tc>
          <w:tcPr>
            <w:tcW w:w="78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31.1 </w:t>
            </w:r>
          </w:p>
        </w:tc>
        <w:tc>
          <w:tcPr>
            <w:tcW w:w="34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53"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a2025q3exhibit311.htm">
              <w:r>
                <w:rPr>
                  <w:rStyle w:val="InternetLink"/>
                  <w:rFonts w:ascii="Times New Roman;serif" w:hAnsi="Times New Roman;serif"/>
                  <w:b w:val="false"/>
                  <w:color w:val="0000FF"/>
                  <w:sz w:val="20"/>
                  <w:u w:val="single"/>
                </w:rPr>
                <w:t>Certification of Principal Executive Officer pursuant to Section 302 of the Sarbanes-Oxley Act of 2002</w:t>
              </w:r>
            </w:hyperlink>
          </w:p>
        </w:tc>
      </w:tr>
      <w:tr>
        <w:trPr/>
        <w:tc>
          <w:tcPr>
            <w:tcW w:w="78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31.2 </w:t>
            </w:r>
          </w:p>
        </w:tc>
        <w:tc>
          <w:tcPr>
            <w:tcW w:w="34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53"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a2025q3exhibit312.htm">
              <w:r>
                <w:rPr>
                  <w:rStyle w:val="InternetLink"/>
                  <w:rFonts w:ascii="Times New Roman;serif" w:hAnsi="Times New Roman;serif"/>
                  <w:b w:val="false"/>
                  <w:color w:val="0000FF"/>
                  <w:sz w:val="20"/>
                  <w:u w:val="single"/>
                </w:rPr>
                <w:t>Certification of Principal Financial Officer pursuant to Section 302 of the Sarbanes-Oxley Act of 2002</w:t>
              </w:r>
            </w:hyperlink>
          </w:p>
        </w:tc>
      </w:tr>
      <w:tr>
        <w:trPr/>
        <w:tc>
          <w:tcPr>
            <w:tcW w:w="78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32.1 </w:t>
            </w:r>
          </w:p>
        </w:tc>
        <w:tc>
          <w:tcPr>
            <w:tcW w:w="34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53"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a2025q3exhibit321.htm">
              <w:r>
                <w:rPr>
                  <w:rStyle w:val="InternetLink"/>
                  <w:rFonts w:ascii="Times New Roman;serif" w:hAnsi="Times New Roman;serif"/>
                  <w:b w:val="false"/>
                  <w:color w:val="0000FF"/>
                  <w:sz w:val="20"/>
                  <w:u w:val="single"/>
                </w:rPr>
                <w:t>Certification of Principal Executive Officer and Principal Financial Officer pursuant to Section 906 of the Sarbanes-Oxley Act of 2002</w:t>
              </w:r>
            </w:hyperlink>
            <w:r>
              <w:rPr>
                <w:color w:val="000000"/>
              </w:rPr>
              <w:t xml:space="preserve"> </w:t>
            </w:r>
            <w:r>
              <w:rPr>
                <w:rFonts w:ascii="Times New Roman;serif" w:hAnsi="Times New Roman;serif"/>
                <w:b w:val="false"/>
                <w:color w:val="000000"/>
                <w:sz w:val="20"/>
              </w:rPr>
              <w:t>(furnished herewith)</w:t>
            </w:r>
          </w:p>
        </w:tc>
      </w:tr>
      <w:tr>
        <w:trPr/>
        <w:tc>
          <w:tcPr>
            <w:tcW w:w="1125"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101.INS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5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Inline XBRL Instance Document - the instance document does not appear in the Interactive Data File because its XBRL tags are embedded within the Inline XBRL document</w:t>
            </w:r>
          </w:p>
        </w:tc>
      </w:tr>
      <w:tr>
        <w:trPr/>
        <w:tc>
          <w:tcPr>
            <w:tcW w:w="1125"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101.SCH</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5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Inline XBRL Taxonomy Extension Schema Document</w:t>
            </w:r>
          </w:p>
        </w:tc>
      </w:tr>
      <w:tr>
        <w:trPr/>
        <w:tc>
          <w:tcPr>
            <w:tcW w:w="1125"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101.CAL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5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Inline XBRL Taxonomy Extension Calculation Linkbase Document</w:t>
            </w:r>
          </w:p>
        </w:tc>
      </w:tr>
      <w:tr>
        <w:trPr/>
        <w:tc>
          <w:tcPr>
            <w:tcW w:w="1125"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101.DEF</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5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Inline XBRL Taxonomy Extension Definition Linkbase Document</w:t>
            </w:r>
          </w:p>
        </w:tc>
      </w:tr>
      <w:tr>
        <w:trPr/>
        <w:tc>
          <w:tcPr>
            <w:tcW w:w="1125"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101.LAB</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5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Inline XBRL Taxonomy Extension Label Linkbase Document</w:t>
            </w:r>
          </w:p>
        </w:tc>
      </w:tr>
      <w:tr>
        <w:trPr/>
        <w:tc>
          <w:tcPr>
            <w:tcW w:w="1125"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101.PRE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5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Inline XBRL Taxonomy Extension Presentation Linkbase Document</w:t>
            </w:r>
          </w:p>
        </w:tc>
      </w:tr>
      <w:tr>
        <w:trPr/>
        <w:tc>
          <w:tcPr>
            <w:tcW w:w="78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104.0 </w:t>
            </w:r>
          </w:p>
        </w:tc>
        <w:tc>
          <w:tcPr>
            <w:tcW w:w="34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5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Cover Page Interactive Data File (formatted as Inline XBRL and contained in Exhibit 101)</w:t>
            </w:r>
          </w:p>
        </w:tc>
      </w:tr>
    </w:tbl>
    <w:p>
      <w:pPr>
        <w:pStyle w:val="TextBody"/>
        <w:bidi w:val="0"/>
        <w:spacing w:before="0" w:after="0"/>
        <w:jc w:val="both"/>
        <w:rPr/>
      </w:pPr>
      <w:r>
        <w:rPr/>
      </w:r>
    </w:p>
    <w:p>
      <w:pPr>
        <w:pStyle w:val="TextBody"/>
        <w:bidi w:val="0"/>
        <w:spacing w:lineRule="auto" w:line="268" w:before="0" w:after="0"/>
        <w:jc w:val="lef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*Indicates management contract or compensatory plan or arrangement.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4">
                <wp:simplePos x="0" y="0"/>
                <wp:positionH relativeFrom="character">
                  <wp:align>left</wp:align>
                </wp:positionH>
                <wp:positionV relativeFrom="line">
                  <wp:posOffset>635</wp:posOffset>
                </wp:positionV>
                <wp:extent cx="6480175" cy="146685"/>
                <wp:effectExtent l="0" t="0" r="0" b="0"/>
                <wp:wrapNone/>
                <wp:docPr id="33" name="Frame3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32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32</w:t>
                      </w:r>
                    </w:p>
                  </w:txbxContent>
                </v:textbox>
                <w10:wrap type="none"/>
              </v:rect>
            </w:pict>
          </mc:Fallback>
        </mc:AlternateContent>
      </w:r>
    </w:p>
    <w:p>
      <w:pPr>
        <w:pStyle w:val="TextBody"/>
        <w:bidi w:val="0"/>
        <w:spacing w:lineRule="auto" w:line="288" w:before="160" w:after="160"/>
        <w:jc w:val="left"/>
        <w:rPr/>
      </w:pPr>
      <w:hyperlink w:anchor="i0388035fcf6a4f6ca5f569f2895a7d6a_10">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SIGNATURES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Pursuant to the requirements of the Securities Act of 1934, the Registrant has duly caused this report to be signed on its behalf by the undersigned, thereunto duly authorized.</w:t>
      </w:r>
    </w:p>
    <w:p>
      <w:pPr>
        <w:pStyle w:val="TextBody"/>
        <w:bidi w:val="0"/>
        <w:spacing w:before="0" w:after="0"/>
        <w:jc w:val="both"/>
        <w:rPr/>
      </w:pPr>
      <w:r>
        <w:rPr/>
      </w:r>
    </w:p>
    <w:tbl>
      <w:tblPr>
        <w:tblW w:w="9466" w:type="dxa"/>
        <w:jc w:val="left"/>
        <w:tblInd w:w="0" w:type="dxa"/>
        <w:tblLayout w:type="fixed"/>
        <w:tblCellMar>
          <w:top w:w="28" w:type="dxa"/>
          <w:left w:w="28" w:type="dxa"/>
          <w:bottom w:w="28" w:type="dxa"/>
          <w:right w:w="28" w:type="dxa"/>
        </w:tblCellMar>
      </w:tblPr>
      <w:tblGrid>
        <w:gridCol w:w="409"/>
        <w:gridCol w:w="359"/>
        <w:gridCol w:w="359"/>
        <w:gridCol w:w="2434"/>
        <w:gridCol w:w="2434"/>
        <w:gridCol w:w="3471"/>
      </w:tblGrid>
      <w:tr>
        <w:trPr/>
        <w:tc>
          <w:tcPr>
            <w:tcW w:w="409" w:type="dxa"/>
            <w:tcBorders/>
            <w:vAlign w:val="center"/>
          </w:tcPr>
          <w:p>
            <w:pPr>
              <w:pStyle w:val="TableContents"/>
              <w:bidi w:val="0"/>
              <w:spacing w:before="0" w:after="283"/>
              <w:jc w:val="left"/>
              <w:rPr>
                <w:sz w:val="4"/>
                <w:szCs w:val="4"/>
              </w:rPr>
            </w:pPr>
            <w:r>
              <w:rPr>
                <w:sz w:val="4"/>
                <w:szCs w:val="4"/>
              </w:rPr>
            </w:r>
          </w:p>
        </w:tc>
        <w:tc>
          <w:tcPr>
            <w:tcW w:w="359" w:type="dxa"/>
            <w:tcBorders/>
            <w:vAlign w:val="center"/>
          </w:tcPr>
          <w:p>
            <w:pPr>
              <w:pStyle w:val="TableContents"/>
              <w:bidi w:val="0"/>
              <w:spacing w:before="0" w:after="283"/>
              <w:jc w:val="left"/>
              <w:rPr>
                <w:sz w:val="4"/>
                <w:szCs w:val="4"/>
              </w:rPr>
            </w:pPr>
            <w:r>
              <w:rPr>
                <w:sz w:val="4"/>
                <w:szCs w:val="4"/>
              </w:rPr>
            </w:r>
          </w:p>
        </w:tc>
        <w:tc>
          <w:tcPr>
            <w:tcW w:w="359" w:type="dxa"/>
            <w:tcBorders/>
            <w:vAlign w:val="center"/>
          </w:tcPr>
          <w:p>
            <w:pPr>
              <w:pStyle w:val="TableContents"/>
              <w:bidi w:val="0"/>
              <w:spacing w:before="0" w:after="283"/>
              <w:jc w:val="left"/>
              <w:rPr>
                <w:sz w:val="4"/>
                <w:szCs w:val="4"/>
              </w:rPr>
            </w:pPr>
            <w:r>
              <w:rPr>
                <w:sz w:val="4"/>
                <w:szCs w:val="4"/>
              </w:rPr>
            </w:r>
          </w:p>
        </w:tc>
        <w:tc>
          <w:tcPr>
            <w:tcW w:w="2434" w:type="dxa"/>
            <w:tcBorders/>
            <w:vAlign w:val="center"/>
          </w:tcPr>
          <w:p>
            <w:pPr>
              <w:pStyle w:val="TableContents"/>
              <w:bidi w:val="0"/>
              <w:spacing w:before="0" w:after="283"/>
              <w:jc w:val="left"/>
              <w:rPr>
                <w:sz w:val="4"/>
                <w:szCs w:val="4"/>
              </w:rPr>
            </w:pPr>
            <w:r>
              <w:rPr>
                <w:sz w:val="4"/>
                <w:szCs w:val="4"/>
              </w:rPr>
            </w:r>
          </w:p>
        </w:tc>
        <w:tc>
          <w:tcPr>
            <w:tcW w:w="2434" w:type="dxa"/>
            <w:tcBorders/>
            <w:vAlign w:val="center"/>
          </w:tcPr>
          <w:p>
            <w:pPr>
              <w:pStyle w:val="TableContents"/>
              <w:bidi w:val="0"/>
              <w:spacing w:before="0" w:after="283"/>
              <w:jc w:val="left"/>
              <w:rPr>
                <w:sz w:val="4"/>
                <w:szCs w:val="4"/>
              </w:rPr>
            </w:pPr>
            <w:r>
              <w:rPr>
                <w:sz w:val="4"/>
                <w:szCs w:val="4"/>
              </w:rPr>
            </w:r>
          </w:p>
        </w:tc>
        <w:tc>
          <w:tcPr>
            <w:tcW w:w="3471" w:type="dxa"/>
            <w:tcBorders/>
            <w:vAlign w:val="center"/>
          </w:tcPr>
          <w:p>
            <w:pPr>
              <w:pStyle w:val="TableContents"/>
              <w:bidi w:val="0"/>
              <w:spacing w:before="0" w:after="283"/>
              <w:jc w:val="left"/>
              <w:rPr>
                <w:sz w:val="4"/>
                <w:szCs w:val="4"/>
              </w:rPr>
            </w:pPr>
            <w:r>
              <w:rPr>
                <w:sz w:val="4"/>
                <w:szCs w:val="4"/>
              </w:rPr>
            </w:r>
          </w:p>
        </w:tc>
      </w:tr>
      <w:tr>
        <w:trPr/>
        <w:tc>
          <w:tcPr>
            <w:tcW w:w="9466"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NOODLES &amp; COMPANY</w:t>
            </w:r>
          </w:p>
        </w:tc>
      </w:tr>
      <w:tr>
        <w:trPr/>
        <w:tc>
          <w:tcPr>
            <w:tcW w:w="112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By:</w:t>
            </w:r>
          </w:p>
        </w:tc>
        <w:tc>
          <w:tcPr>
            <w:tcW w:w="833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  MIKE HYNES</w:t>
            </w:r>
          </w:p>
        </w:tc>
      </w:tr>
      <w:tr>
        <w:trPr/>
        <w:tc>
          <w:tcPr>
            <w:tcW w:w="11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3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Mike Hynes</w:t>
            </w:r>
          </w:p>
          <w:p>
            <w:pPr>
              <w:pStyle w:val="TableContents"/>
              <w:bidi w:val="0"/>
              <w:spacing w:lineRule="auto" w:line="240" w:before="0" w:after="0"/>
              <w:jc w:val="left"/>
              <w:rPr>
                <w:rFonts w:ascii="Times New Roman;serif" w:hAnsi="Times New Roman;serif"/>
                <w:b w:val="false"/>
                <w:i/>
                <w:color w:val="000000"/>
                <w:sz w:val="20"/>
              </w:rPr>
            </w:pPr>
            <w:r>
              <w:rPr>
                <w:rFonts w:ascii="Times New Roman;serif" w:hAnsi="Times New Roman;serif"/>
                <w:b w:val="false"/>
                <w:i/>
                <w:color w:val="000000"/>
                <w:sz w:val="20"/>
              </w:rPr>
              <w:t>Chief Financial Officer (principal financial officer and duly authorized signatory for the registrant)</w:t>
            </w:r>
          </w:p>
        </w:tc>
      </w:tr>
      <w:tr>
        <w:trPr/>
        <w:tc>
          <w:tcPr>
            <w:tcW w:w="112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Date</w:t>
            </w:r>
          </w:p>
        </w:tc>
        <w:tc>
          <w:tcPr>
            <w:tcW w:w="833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November 6, 2025</w:t>
            </w:r>
          </w:p>
        </w:tc>
      </w:tr>
    </w:tbl>
    <w:p>
      <w:pPr>
        <w:pStyle w:val="TextBody"/>
        <w:bidi w:val="0"/>
        <w:spacing w:before="0" w:after="0"/>
        <w:jc w:val="left"/>
        <w:rPr/>
      </w:pPr>
      <w:r>
        <w:rPr/>
      </w:r>
    </w:p>
    <w:p>
      <w:pPr>
        <w:pStyle w:val="TextBody"/>
        <w:bidi w:val="0"/>
        <w:spacing w:before="160" w:after="160"/>
        <w:jc w:val="center"/>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35">
                <wp:simplePos x="0" y="0"/>
                <wp:positionH relativeFrom="character">
                  <wp:align>left</wp:align>
                </wp:positionH>
                <wp:positionV relativeFrom="line">
                  <wp:posOffset>635</wp:posOffset>
                </wp:positionV>
                <wp:extent cx="6480175" cy="146685"/>
                <wp:effectExtent l="0" t="0" r="0" b="0"/>
                <wp:wrapNone/>
                <wp:docPr id="34" name="Frame3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33</w:t>
                      </w:r>
                    </w:p>
                  </w:txbxContent>
                </v:textbox>
                <w10:wrap type="none"/>
              </v:rect>
            </w:pict>
          </mc:Fallback>
        </mc:AlternateContent>
      </w:r>
    </w:p>
    <w:p>
      <w:pPr>
        <w:pStyle w:val="TextBody"/>
        <w:bidi w:val="0"/>
        <w:spacing w:lineRule="auto" w:line="288" w:before="0" w:after="160"/>
        <w:jc w:val="right"/>
        <w:rPr>
          <w:rFonts w:ascii="Times New Roman;serif" w:hAnsi="Times New Roman;serif"/>
          <w:b/>
          <w:color w:val="000000"/>
          <w:sz w:val="20"/>
        </w:rPr>
      </w:pPr>
      <w:r>
        <w:rPr>
          <w:rFonts w:ascii="Times New Roman;serif" w:hAnsi="Times New Roman;serif"/>
          <w:b/>
          <w:color w:val="000000"/>
          <w:sz w:val="20"/>
        </w:rPr>
        <w:t>Exhibit 31.1</w:t>
      </w:r>
    </w:p>
    <w:p>
      <w:pPr>
        <w:pStyle w:val="TextBody"/>
        <w:bidi w:val="0"/>
        <w:spacing w:lineRule="auto" w:line="288" w:before="0" w:after="160"/>
        <w:jc w:val="center"/>
        <w:rPr>
          <w:rFonts w:ascii="Times New Roman;serif" w:hAnsi="Times New Roman;serif"/>
          <w:b/>
          <w:color w:val="000000"/>
          <w:sz w:val="20"/>
        </w:rPr>
      </w:pPr>
      <w:r>
        <w:rPr>
          <w:rFonts w:ascii="Times New Roman;serif" w:hAnsi="Times New Roman;serif"/>
          <w:b/>
          <w:color w:val="000000"/>
          <w:sz w:val="20"/>
        </w:rPr>
        <w:t xml:space="preserve">CERTIFICATION OF PRINCIPAL EXECUTIVE OFFICER </w:t>
      </w:r>
    </w:p>
    <w:p>
      <w:pPr>
        <w:pStyle w:val="TextBody"/>
        <w:bidi w:val="0"/>
        <w:spacing w:lineRule="auto" w:line="288" w:before="0" w:after="160"/>
        <w:jc w:val="center"/>
        <w:rPr>
          <w:color w:val="000000"/>
        </w:rPr>
      </w:pPr>
      <w:r>
        <w:rPr>
          <w:color w:val="000000"/>
        </w:rPr>
        <w:t>    </w:t>
      </w:r>
    </w:p>
    <w:p>
      <w:pPr>
        <w:pStyle w:val="TextBody"/>
        <w:bidi w:val="0"/>
        <w:spacing w:lineRule="auto" w:line="288" w:before="198" w:after="283"/>
        <w:jc w:val="both"/>
        <w:rPr>
          <w:rFonts w:ascii="Times New Roman;serif" w:hAnsi="Times New Roman;serif"/>
          <w:b w:val="false"/>
          <w:color w:val="000000"/>
          <w:sz w:val="20"/>
        </w:rPr>
      </w:pPr>
      <w:r>
        <w:rPr>
          <w:rFonts w:ascii="Times New Roman;serif" w:hAnsi="Times New Roman;serif"/>
          <w:b w:val="false"/>
          <w:color w:val="000000"/>
          <w:sz w:val="20"/>
        </w:rPr>
        <w:t>I, Joseph Christina, certify that:</w:t>
      </w:r>
    </w:p>
    <w:p>
      <w:pPr>
        <w:pStyle w:val="TextBody"/>
        <w:bidi w:val="0"/>
        <w:spacing w:lineRule="auto" w:line="288" w:before="88" w:after="283"/>
        <w:jc w:val="both"/>
        <w:rPr>
          <w:rFonts w:ascii="Times New Roman;serif" w:hAnsi="Times New Roman;serif"/>
          <w:b w:val="false"/>
          <w:color w:val="000000"/>
          <w:sz w:val="20"/>
        </w:rPr>
      </w:pPr>
      <w:r>
        <w:rPr>
          <w:rFonts w:ascii="Times New Roman;serif" w:hAnsi="Times New Roman;serif"/>
          <w:b w:val="false"/>
          <w:color w:val="000000"/>
          <w:sz w:val="20"/>
        </w:rPr>
        <w:t>1. I have reviewed this quarterly report on Form 10-Q of Noodles and Company;</w:t>
      </w:r>
    </w:p>
    <w:p>
      <w:pPr>
        <w:pStyle w:val="TextBody"/>
        <w:bidi w:val="0"/>
        <w:spacing w:lineRule="auto" w:line="288" w:before="88" w:after="283"/>
        <w:jc w:val="both"/>
        <w:rPr>
          <w:rFonts w:ascii="Times New Roman;serif" w:hAnsi="Times New Roman;serif"/>
          <w:b w:val="false"/>
          <w:color w:val="000000"/>
          <w:sz w:val="20"/>
        </w:rPr>
      </w:pPr>
      <w:r>
        <w:rPr>
          <w:rFonts w:ascii="Times New Roman;serif" w:hAnsi="Times New Roman;serif"/>
          <w:b w:val="false"/>
          <w:color w:val="000000"/>
          <w:sz w:val="20"/>
        </w:rPr>
        <w:t>2. 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lineRule="auto" w:line="288" w:before="198" w:after="283"/>
        <w:jc w:val="both"/>
        <w:rPr>
          <w:rFonts w:ascii="Times New Roman;serif" w:hAnsi="Times New Roman;serif"/>
          <w:b w:val="false"/>
          <w:color w:val="000000"/>
          <w:sz w:val="20"/>
        </w:rPr>
      </w:pPr>
      <w:r>
        <w:rPr>
          <w:rFonts w:ascii="Times New Roman;serif" w:hAnsi="Times New Roman;serif"/>
          <w:b w:val="false"/>
          <w:color w:val="000000"/>
          <w:sz w:val="20"/>
        </w:rPr>
        <w:t>3. 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lineRule="auto" w:line="288" w:before="198" w:after="283"/>
        <w:jc w:val="both"/>
        <w:rPr>
          <w:rFonts w:ascii="Times New Roman;serif" w:hAnsi="Times New Roman;serif"/>
          <w:b w:val="false"/>
          <w:color w:val="000000"/>
          <w:sz w:val="20"/>
        </w:rPr>
      </w:pPr>
      <w:r>
        <w:rPr>
          <w:rFonts w:ascii="Times New Roman;serif" w:hAnsi="Times New Roman;serif"/>
          <w:b w:val="false"/>
          <w:color w:val="000000"/>
          <w:sz w:val="20"/>
        </w:rPr>
        <w:t>4. I am responsible for establishing and maintaining disclosure controls and procedures (as defined in Exchange Act Rules 13a-15(e) and 15d-15(e)) and internal control over financial reporting (as defined in Exchange Act Rules 13a-15(f) and 15d-15(f)) for the registrant and have:</w:t>
      </w:r>
    </w:p>
    <w:tbl>
      <w:tblPr>
        <w:tblW w:w="10205" w:type="dxa"/>
        <w:jc w:val="center"/>
        <w:tblInd w:w="0" w:type="dxa"/>
        <w:tblLayout w:type="fixed"/>
        <w:tblCellMar>
          <w:top w:w="28" w:type="dxa"/>
          <w:left w:w="28" w:type="dxa"/>
          <w:bottom w:w="28" w:type="dxa"/>
          <w:right w:w="28" w:type="dxa"/>
        </w:tblCellMar>
      </w:tblPr>
      <w:tblGrid>
        <w:gridCol w:w="124"/>
        <w:gridCol w:w="109"/>
        <w:gridCol w:w="109"/>
        <w:gridCol w:w="109"/>
        <w:gridCol w:w="109"/>
        <w:gridCol w:w="109"/>
        <w:gridCol w:w="2786"/>
        <w:gridCol w:w="2786"/>
        <w:gridCol w:w="396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86" w:type="dxa"/>
            <w:tcBorders/>
            <w:vAlign w:val="center"/>
          </w:tcPr>
          <w:p>
            <w:pPr>
              <w:pStyle w:val="TableContents"/>
              <w:bidi w:val="0"/>
              <w:spacing w:before="0" w:after="283"/>
              <w:jc w:val="left"/>
              <w:rPr>
                <w:sz w:val="4"/>
                <w:szCs w:val="4"/>
              </w:rPr>
            </w:pPr>
            <w:r>
              <w:rPr>
                <w:sz w:val="4"/>
                <w:szCs w:val="4"/>
              </w:rPr>
            </w:r>
          </w:p>
        </w:tc>
        <w:tc>
          <w:tcPr>
            <w:tcW w:w="2786" w:type="dxa"/>
            <w:tcBorders/>
            <w:vAlign w:val="center"/>
          </w:tcPr>
          <w:p>
            <w:pPr>
              <w:pStyle w:val="TableContents"/>
              <w:bidi w:val="0"/>
              <w:spacing w:before="0" w:after="283"/>
              <w:jc w:val="left"/>
              <w:rPr>
                <w:sz w:val="4"/>
                <w:szCs w:val="4"/>
              </w:rPr>
            </w:pPr>
            <w:r>
              <w:rPr>
                <w:sz w:val="4"/>
                <w:szCs w:val="4"/>
              </w:rPr>
            </w:r>
          </w:p>
        </w:tc>
        <w:tc>
          <w:tcPr>
            <w:tcW w:w="396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w:t>
            </w:r>
          </w:p>
        </w:tc>
        <w:tc>
          <w:tcPr>
            <w:tcW w:w="9536"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Designed such disclosure controls and procedures, or caused such disclosure controls and procedures to be designed under my supervision, to ensure that material information relating to the registrant, including its consolidated subsidiaries, is made known to me by others within those entities, particularly during the period in which this report is being prepared;</w:t>
            </w:r>
          </w:p>
        </w:tc>
      </w:tr>
    </w:tbl>
    <w:tbl>
      <w:tblPr>
        <w:tblW w:w="10205" w:type="dxa"/>
        <w:jc w:val="center"/>
        <w:tblInd w:w="0" w:type="dxa"/>
        <w:tblLayout w:type="fixed"/>
        <w:tblCellMar>
          <w:top w:w="28" w:type="dxa"/>
          <w:left w:w="28" w:type="dxa"/>
          <w:bottom w:w="28" w:type="dxa"/>
          <w:right w:w="28" w:type="dxa"/>
        </w:tblCellMar>
      </w:tblPr>
      <w:tblGrid>
        <w:gridCol w:w="124"/>
        <w:gridCol w:w="109"/>
        <w:gridCol w:w="109"/>
        <w:gridCol w:w="109"/>
        <w:gridCol w:w="109"/>
        <w:gridCol w:w="109"/>
        <w:gridCol w:w="2791"/>
        <w:gridCol w:w="2791"/>
        <w:gridCol w:w="39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91" w:type="dxa"/>
            <w:tcBorders/>
            <w:vAlign w:val="center"/>
          </w:tcPr>
          <w:p>
            <w:pPr>
              <w:pStyle w:val="TableContents"/>
              <w:bidi w:val="0"/>
              <w:spacing w:before="0" w:after="283"/>
              <w:jc w:val="left"/>
              <w:rPr>
                <w:sz w:val="4"/>
                <w:szCs w:val="4"/>
              </w:rPr>
            </w:pPr>
            <w:r>
              <w:rPr>
                <w:sz w:val="4"/>
                <w:szCs w:val="4"/>
              </w:rPr>
            </w:r>
          </w:p>
        </w:tc>
        <w:tc>
          <w:tcPr>
            <w:tcW w:w="2791" w:type="dxa"/>
            <w:tcBorders/>
            <w:vAlign w:val="center"/>
          </w:tcPr>
          <w:p>
            <w:pPr>
              <w:pStyle w:val="TableContents"/>
              <w:bidi w:val="0"/>
              <w:spacing w:before="0" w:after="283"/>
              <w:jc w:val="left"/>
              <w:rPr>
                <w:sz w:val="4"/>
                <w:szCs w:val="4"/>
              </w:rPr>
            </w:pPr>
            <w:r>
              <w:rPr>
                <w:sz w:val="4"/>
                <w:szCs w:val="4"/>
              </w:rPr>
            </w:r>
          </w:p>
        </w:tc>
        <w:tc>
          <w:tcPr>
            <w:tcW w:w="39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w:t>
            </w:r>
          </w:p>
        </w:tc>
        <w:tc>
          <w:tcPr>
            <w:tcW w:w="9536"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Designed such internal control over financial reporting, or caused such internal control over financial reporting to be designed under my supervision, to provide reasonable assurance regarding the reliability of financial reporting and the preparation of financial statements for external purposes in accordance with generally accepted accounting principles;</w:t>
            </w:r>
          </w:p>
        </w:tc>
      </w:tr>
    </w:tbl>
    <w:tbl>
      <w:tblPr>
        <w:tblW w:w="10205" w:type="dxa"/>
        <w:jc w:val="center"/>
        <w:tblInd w:w="0" w:type="dxa"/>
        <w:tblLayout w:type="fixed"/>
        <w:tblCellMar>
          <w:top w:w="28" w:type="dxa"/>
          <w:left w:w="28" w:type="dxa"/>
          <w:bottom w:w="28" w:type="dxa"/>
          <w:right w:w="28" w:type="dxa"/>
        </w:tblCellMar>
      </w:tblPr>
      <w:tblGrid>
        <w:gridCol w:w="124"/>
        <w:gridCol w:w="109"/>
        <w:gridCol w:w="109"/>
        <w:gridCol w:w="109"/>
        <w:gridCol w:w="109"/>
        <w:gridCol w:w="109"/>
        <w:gridCol w:w="2787"/>
        <w:gridCol w:w="2787"/>
        <w:gridCol w:w="3962"/>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87" w:type="dxa"/>
            <w:tcBorders/>
            <w:vAlign w:val="center"/>
          </w:tcPr>
          <w:p>
            <w:pPr>
              <w:pStyle w:val="TableContents"/>
              <w:bidi w:val="0"/>
              <w:spacing w:before="0" w:after="283"/>
              <w:jc w:val="left"/>
              <w:rPr>
                <w:sz w:val="4"/>
                <w:szCs w:val="4"/>
              </w:rPr>
            </w:pPr>
            <w:r>
              <w:rPr>
                <w:sz w:val="4"/>
                <w:szCs w:val="4"/>
              </w:rPr>
            </w:r>
          </w:p>
        </w:tc>
        <w:tc>
          <w:tcPr>
            <w:tcW w:w="2787" w:type="dxa"/>
            <w:tcBorders/>
            <w:vAlign w:val="center"/>
          </w:tcPr>
          <w:p>
            <w:pPr>
              <w:pStyle w:val="TableContents"/>
              <w:bidi w:val="0"/>
              <w:spacing w:before="0" w:after="283"/>
              <w:jc w:val="left"/>
              <w:rPr>
                <w:sz w:val="4"/>
                <w:szCs w:val="4"/>
              </w:rPr>
            </w:pPr>
            <w:r>
              <w:rPr>
                <w:sz w:val="4"/>
                <w:szCs w:val="4"/>
              </w:rPr>
            </w:r>
          </w:p>
        </w:tc>
        <w:tc>
          <w:tcPr>
            <w:tcW w:w="3962"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w:t>
            </w:r>
          </w:p>
        </w:tc>
        <w:tc>
          <w:tcPr>
            <w:tcW w:w="9536"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Evaluated the effectiveness of the registrant's disclosure controls and procedures and presented in this report my conclusions about the effectiveness of the disclosure controls and procedures, as of the end of the period covered by this report based on such evaluation; and</w:t>
            </w:r>
          </w:p>
        </w:tc>
      </w:tr>
    </w:tbl>
    <w:tbl>
      <w:tblPr>
        <w:tblW w:w="10205" w:type="dxa"/>
        <w:jc w:val="center"/>
        <w:tblInd w:w="0" w:type="dxa"/>
        <w:tblLayout w:type="fixed"/>
        <w:tblCellMar>
          <w:top w:w="28" w:type="dxa"/>
          <w:left w:w="28" w:type="dxa"/>
          <w:bottom w:w="28" w:type="dxa"/>
          <w:right w:w="28" w:type="dxa"/>
        </w:tblCellMar>
      </w:tblPr>
      <w:tblGrid>
        <w:gridCol w:w="124"/>
        <w:gridCol w:w="109"/>
        <w:gridCol w:w="109"/>
        <w:gridCol w:w="109"/>
        <w:gridCol w:w="109"/>
        <w:gridCol w:w="109"/>
        <w:gridCol w:w="2788"/>
        <w:gridCol w:w="2788"/>
        <w:gridCol w:w="3960"/>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88" w:type="dxa"/>
            <w:tcBorders/>
            <w:vAlign w:val="center"/>
          </w:tcPr>
          <w:p>
            <w:pPr>
              <w:pStyle w:val="TableContents"/>
              <w:bidi w:val="0"/>
              <w:spacing w:before="0" w:after="283"/>
              <w:jc w:val="left"/>
              <w:rPr>
                <w:sz w:val="4"/>
                <w:szCs w:val="4"/>
              </w:rPr>
            </w:pPr>
            <w:r>
              <w:rPr>
                <w:sz w:val="4"/>
                <w:szCs w:val="4"/>
              </w:rPr>
            </w:r>
          </w:p>
        </w:tc>
        <w:tc>
          <w:tcPr>
            <w:tcW w:w="2788" w:type="dxa"/>
            <w:tcBorders/>
            <w:vAlign w:val="center"/>
          </w:tcPr>
          <w:p>
            <w:pPr>
              <w:pStyle w:val="TableContents"/>
              <w:bidi w:val="0"/>
              <w:spacing w:before="0" w:after="283"/>
              <w:jc w:val="left"/>
              <w:rPr>
                <w:sz w:val="4"/>
                <w:szCs w:val="4"/>
              </w:rPr>
            </w:pPr>
            <w:r>
              <w:rPr>
                <w:sz w:val="4"/>
                <w:szCs w:val="4"/>
              </w:rPr>
            </w:r>
          </w:p>
        </w:tc>
        <w:tc>
          <w:tcPr>
            <w:tcW w:w="3960"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w:t>
            </w:r>
          </w:p>
        </w:tc>
        <w:tc>
          <w:tcPr>
            <w:tcW w:w="9536"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tc>
      </w:tr>
    </w:tbl>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5. I have disclosed, based on my most recent evaluation of internal control over financial reporting, to the registrant's auditors and the audit committee of the registrant's board of directors (or persons performing the equivalent functions):</w:t>
      </w:r>
    </w:p>
    <w:tbl>
      <w:tblPr>
        <w:tblW w:w="10205" w:type="dxa"/>
        <w:jc w:val="center"/>
        <w:tblInd w:w="0" w:type="dxa"/>
        <w:tblLayout w:type="fixed"/>
        <w:tblCellMar>
          <w:top w:w="28" w:type="dxa"/>
          <w:left w:w="28" w:type="dxa"/>
          <w:bottom w:w="28" w:type="dxa"/>
          <w:right w:w="28" w:type="dxa"/>
        </w:tblCellMar>
      </w:tblPr>
      <w:tblGrid>
        <w:gridCol w:w="124"/>
        <w:gridCol w:w="109"/>
        <w:gridCol w:w="109"/>
        <w:gridCol w:w="109"/>
        <w:gridCol w:w="109"/>
        <w:gridCol w:w="109"/>
        <w:gridCol w:w="2793"/>
        <w:gridCol w:w="2793"/>
        <w:gridCol w:w="3950"/>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93" w:type="dxa"/>
            <w:tcBorders/>
            <w:vAlign w:val="center"/>
          </w:tcPr>
          <w:p>
            <w:pPr>
              <w:pStyle w:val="TableContents"/>
              <w:bidi w:val="0"/>
              <w:spacing w:before="0" w:after="283"/>
              <w:jc w:val="left"/>
              <w:rPr>
                <w:sz w:val="4"/>
                <w:szCs w:val="4"/>
              </w:rPr>
            </w:pPr>
            <w:r>
              <w:rPr>
                <w:sz w:val="4"/>
                <w:szCs w:val="4"/>
              </w:rPr>
            </w:r>
          </w:p>
        </w:tc>
        <w:tc>
          <w:tcPr>
            <w:tcW w:w="2793" w:type="dxa"/>
            <w:tcBorders/>
            <w:vAlign w:val="center"/>
          </w:tcPr>
          <w:p>
            <w:pPr>
              <w:pStyle w:val="TableContents"/>
              <w:bidi w:val="0"/>
              <w:spacing w:before="0" w:after="283"/>
              <w:jc w:val="left"/>
              <w:rPr>
                <w:sz w:val="4"/>
                <w:szCs w:val="4"/>
              </w:rPr>
            </w:pPr>
            <w:r>
              <w:rPr>
                <w:sz w:val="4"/>
                <w:szCs w:val="4"/>
              </w:rPr>
            </w:r>
          </w:p>
        </w:tc>
        <w:tc>
          <w:tcPr>
            <w:tcW w:w="3950"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w:t>
            </w:r>
          </w:p>
        </w:tc>
        <w:tc>
          <w:tcPr>
            <w:tcW w:w="9536"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All significant deficiencies and material weaknesses in the design or operation of internal control over financial reporting which are reasonably likely to adversely affect the registrant's ability to record, process, summarize and report financial information; and</w:t>
            </w:r>
          </w:p>
        </w:tc>
      </w:tr>
    </w:tbl>
    <w:tbl>
      <w:tblPr>
        <w:tblW w:w="10205" w:type="dxa"/>
        <w:jc w:val="center"/>
        <w:tblInd w:w="0" w:type="dxa"/>
        <w:tblLayout w:type="fixed"/>
        <w:tblCellMar>
          <w:top w:w="28" w:type="dxa"/>
          <w:left w:w="28" w:type="dxa"/>
          <w:bottom w:w="28" w:type="dxa"/>
          <w:right w:w="28" w:type="dxa"/>
        </w:tblCellMar>
      </w:tblPr>
      <w:tblGrid>
        <w:gridCol w:w="124"/>
        <w:gridCol w:w="109"/>
        <w:gridCol w:w="109"/>
        <w:gridCol w:w="109"/>
        <w:gridCol w:w="109"/>
        <w:gridCol w:w="109"/>
        <w:gridCol w:w="2789"/>
        <w:gridCol w:w="2789"/>
        <w:gridCol w:w="3958"/>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89" w:type="dxa"/>
            <w:tcBorders/>
            <w:vAlign w:val="center"/>
          </w:tcPr>
          <w:p>
            <w:pPr>
              <w:pStyle w:val="TableContents"/>
              <w:bidi w:val="0"/>
              <w:spacing w:before="0" w:after="283"/>
              <w:jc w:val="left"/>
              <w:rPr>
                <w:sz w:val="4"/>
                <w:szCs w:val="4"/>
              </w:rPr>
            </w:pPr>
            <w:r>
              <w:rPr>
                <w:sz w:val="4"/>
                <w:szCs w:val="4"/>
              </w:rPr>
            </w:r>
          </w:p>
        </w:tc>
        <w:tc>
          <w:tcPr>
            <w:tcW w:w="2789" w:type="dxa"/>
            <w:tcBorders/>
            <w:vAlign w:val="center"/>
          </w:tcPr>
          <w:p>
            <w:pPr>
              <w:pStyle w:val="TableContents"/>
              <w:bidi w:val="0"/>
              <w:spacing w:before="0" w:after="283"/>
              <w:jc w:val="left"/>
              <w:rPr>
                <w:sz w:val="4"/>
                <w:szCs w:val="4"/>
              </w:rPr>
            </w:pPr>
            <w:r>
              <w:rPr>
                <w:sz w:val="4"/>
                <w:szCs w:val="4"/>
              </w:rPr>
            </w:r>
          </w:p>
        </w:tc>
        <w:tc>
          <w:tcPr>
            <w:tcW w:w="3958"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w:t>
            </w:r>
          </w:p>
        </w:tc>
        <w:tc>
          <w:tcPr>
            <w:tcW w:w="9536"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Any fraud, whether or not material, that involves management or other employees who have a significant role in the registrant's internal control over financial reporting.</w:t>
            </w:r>
          </w:p>
        </w:tc>
      </w:tr>
    </w:tbl>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 xml:space="preserve">Date: November 6, 2025 </w:t>
      </w:r>
    </w:p>
    <w:tbl>
      <w:tblPr>
        <w:tblW w:w="2843" w:type="dxa"/>
        <w:jc w:val="center"/>
        <w:tblInd w:w="0" w:type="dxa"/>
        <w:tblLayout w:type="fixed"/>
        <w:tblCellMar>
          <w:top w:w="28" w:type="dxa"/>
          <w:left w:w="28" w:type="dxa"/>
          <w:bottom w:w="28" w:type="dxa"/>
          <w:right w:w="28" w:type="dxa"/>
        </w:tblCellMar>
      </w:tblPr>
      <w:tblGrid>
        <w:gridCol w:w="124"/>
        <w:gridCol w:w="109"/>
        <w:gridCol w:w="109"/>
        <w:gridCol w:w="709"/>
        <w:gridCol w:w="709"/>
        <w:gridCol w:w="711"/>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09" w:type="dxa"/>
            <w:tcBorders/>
            <w:vAlign w:val="center"/>
          </w:tcPr>
          <w:p>
            <w:pPr>
              <w:pStyle w:val="TableContents"/>
              <w:bidi w:val="0"/>
              <w:spacing w:before="0" w:after="283"/>
              <w:jc w:val="left"/>
              <w:rPr>
                <w:sz w:val="4"/>
                <w:szCs w:val="4"/>
              </w:rPr>
            </w:pPr>
            <w:r>
              <w:rPr>
                <w:sz w:val="4"/>
                <w:szCs w:val="4"/>
              </w:rPr>
            </w:r>
          </w:p>
        </w:tc>
        <w:tc>
          <w:tcPr>
            <w:tcW w:w="709" w:type="dxa"/>
            <w:tcBorders/>
            <w:vAlign w:val="center"/>
          </w:tcPr>
          <w:p>
            <w:pPr>
              <w:pStyle w:val="TableContents"/>
              <w:bidi w:val="0"/>
              <w:spacing w:before="0" w:after="283"/>
              <w:jc w:val="left"/>
              <w:rPr>
                <w:sz w:val="4"/>
                <w:szCs w:val="4"/>
              </w:rPr>
            </w:pPr>
            <w:r>
              <w:rPr>
                <w:sz w:val="4"/>
                <w:szCs w:val="4"/>
              </w:rPr>
            </w:r>
          </w:p>
        </w:tc>
        <w:tc>
          <w:tcPr>
            <w:tcW w:w="7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  JOSEPH CHRISTINA</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Joseph Christina</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01"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Chief Executive Officer </w:t>
              <w:br/>
              <w:t>(Principal Executive Officer)</w:t>
            </w:r>
          </w:p>
        </w:tc>
      </w:tr>
    </w:tbl>
    <w:p>
      <w:pPr>
        <w:pStyle w:val="TextBody"/>
        <w:bidi w:val="0"/>
        <w:spacing w:before="0" w:after="283"/>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36">
                <wp:simplePos x="0" y="0"/>
                <wp:positionH relativeFrom="character">
                  <wp:align>left</wp:align>
                </wp:positionH>
                <wp:positionV relativeFrom="line">
                  <wp:posOffset>635</wp:posOffset>
                </wp:positionV>
                <wp:extent cx="6480175" cy="175260"/>
                <wp:effectExtent l="0" t="0" r="0" b="0"/>
                <wp:wrapNone/>
                <wp:docPr id="35" name="Frame35"/>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160"/>
        <w:jc w:val="right"/>
        <w:rPr>
          <w:rFonts w:ascii="Times New Roman;serif" w:hAnsi="Times New Roman;serif"/>
          <w:b/>
          <w:color w:val="000000"/>
          <w:sz w:val="20"/>
        </w:rPr>
      </w:pPr>
      <w:r>
        <w:rPr>
          <w:rFonts w:ascii="Times New Roman;serif" w:hAnsi="Times New Roman;serif"/>
          <w:b/>
          <w:color w:val="000000"/>
          <w:sz w:val="20"/>
        </w:rPr>
        <w:t>Exhibit 31.2</w:t>
      </w:r>
    </w:p>
    <w:p>
      <w:pPr>
        <w:pStyle w:val="TextBody"/>
        <w:bidi w:val="0"/>
        <w:spacing w:lineRule="auto" w:line="288" w:before="0" w:after="160"/>
        <w:jc w:val="center"/>
        <w:rPr>
          <w:rFonts w:ascii="Times New Roman;serif" w:hAnsi="Times New Roman;serif"/>
          <w:b/>
          <w:color w:val="000000"/>
          <w:sz w:val="20"/>
        </w:rPr>
      </w:pPr>
      <w:r>
        <w:rPr>
          <w:rFonts w:ascii="Times New Roman;serif" w:hAnsi="Times New Roman;serif"/>
          <w:b/>
          <w:color w:val="000000"/>
          <w:sz w:val="20"/>
        </w:rPr>
        <w:t>CERTIFICATION OF PRINCIPAL FINANCIAL OFFICER</w:t>
      </w:r>
    </w:p>
    <w:p>
      <w:pPr>
        <w:pStyle w:val="TextBody"/>
        <w:bidi w:val="0"/>
        <w:spacing w:lineRule="auto" w:line="288" w:before="0" w:after="160"/>
        <w:jc w:val="center"/>
        <w:rPr>
          <w:color w:val="000000"/>
        </w:rPr>
      </w:pPr>
      <w:r>
        <w:rPr>
          <w:color w:val="000000"/>
        </w:rPr>
        <w:t>    </w:t>
      </w:r>
    </w:p>
    <w:p>
      <w:pPr>
        <w:pStyle w:val="TextBody"/>
        <w:bidi w:val="0"/>
        <w:spacing w:lineRule="auto" w:line="288" w:before="200" w:after="240"/>
        <w:jc w:val="both"/>
        <w:rPr>
          <w:rFonts w:ascii="Times New Roman;serif" w:hAnsi="Times New Roman;serif"/>
          <w:b w:val="false"/>
          <w:color w:val="000000"/>
          <w:sz w:val="20"/>
        </w:rPr>
      </w:pPr>
      <w:r>
        <w:rPr>
          <w:rFonts w:ascii="Times New Roman;serif" w:hAnsi="Times New Roman;serif"/>
          <w:b w:val="false"/>
          <w:color w:val="000000"/>
          <w:sz w:val="20"/>
        </w:rPr>
        <w:t>I, Mike Hynes, certify that:</w:t>
      </w:r>
    </w:p>
    <w:p>
      <w:pPr>
        <w:pStyle w:val="TextBody"/>
        <w:bidi w:val="0"/>
        <w:spacing w:lineRule="auto" w:line="288" w:before="60" w:after="180"/>
        <w:ind w:left="0" w:right="0" w:hanging="180"/>
        <w:jc w:val="both"/>
        <w:rPr>
          <w:rFonts w:ascii="Times New Roman;serif" w:hAnsi="Times New Roman;serif"/>
          <w:b w:val="false"/>
          <w:color w:val="000000"/>
          <w:sz w:val="20"/>
        </w:rPr>
      </w:pPr>
      <w:r>
        <w:rPr>
          <w:rFonts w:ascii="Times New Roman;serif" w:hAnsi="Times New Roman;serif"/>
          <w:b w:val="false"/>
          <w:color w:val="000000"/>
          <w:sz w:val="20"/>
        </w:rPr>
        <w:t>1. I have reviewed this annual report on Form 10-Q of Noodles and Company;</w:t>
      </w:r>
    </w:p>
    <w:p>
      <w:pPr>
        <w:pStyle w:val="TextBody"/>
        <w:bidi w:val="0"/>
        <w:spacing w:lineRule="auto" w:line="288" w:before="60" w:after="180"/>
        <w:ind w:left="0" w:right="0" w:hanging="180"/>
        <w:jc w:val="both"/>
        <w:rPr>
          <w:rFonts w:ascii="Times New Roman;serif" w:hAnsi="Times New Roman;serif"/>
          <w:b w:val="false"/>
          <w:color w:val="000000"/>
          <w:sz w:val="20"/>
        </w:rPr>
      </w:pPr>
      <w:r>
        <w:rPr>
          <w:rFonts w:ascii="Times New Roman;serif" w:hAnsi="Times New Roman;serif"/>
          <w:b w:val="false"/>
          <w:color w:val="000000"/>
          <w:sz w:val="20"/>
        </w:rPr>
        <w:t>2. 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lineRule="auto" w:line="288" w:before="60" w:after="180"/>
        <w:ind w:left="0" w:right="0" w:hanging="180"/>
        <w:jc w:val="both"/>
        <w:rPr>
          <w:rFonts w:ascii="Times New Roman;serif" w:hAnsi="Times New Roman;serif"/>
          <w:b w:val="false"/>
          <w:color w:val="000000"/>
          <w:sz w:val="20"/>
        </w:rPr>
      </w:pPr>
      <w:r>
        <w:rPr>
          <w:rFonts w:ascii="Times New Roman;serif" w:hAnsi="Times New Roman;serif"/>
          <w:b w:val="false"/>
          <w:color w:val="000000"/>
          <w:sz w:val="20"/>
        </w:rPr>
        <w:t>3. 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lineRule="auto" w:line="288" w:before="60" w:after="180"/>
        <w:ind w:left="0" w:right="0" w:hanging="180"/>
        <w:jc w:val="both"/>
        <w:rPr>
          <w:rFonts w:ascii="Times New Roman;serif" w:hAnsi="Times New Roman;serif"/>
          <w:b w:val="false"/>
          <w:color w:val="000000"/>
          <w:sz w:val="20"/>
        </w:rPr>
      </w:pPr>
      <w:r>
        <w:rPr>
          <w:rFonts w:ascii="Times New Roman;serif" w:hAnsi="Times New Roman;serif"/>
          <w:b w:val="false"/>
          <w:color w:val="000000"/>
          <w:sz w:val="20"/>
        </w:rPr>
        <w:t>4. 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tbl>
      <w:tblPr>
        <w:tblW w:w="10205" w:type="dxa"/>
        <w:jc w:val="center"/>
        <w:tblInd w:w="0" w:type="dxa"/>
        <w:tblLayout w:type="fixed"/>
        <w:tblCellMar>
          <w:top w:w="28" w:type="dxa"/>
          <w:left w:w="28" w:type="dxa"/>
          <w:bottom w:w="28" w:type="dxa"/>
          <w:right w:w="28" w:type="dxa"/>
        </w:tblCellMar>
      </w:tblPr>
      <w:tblGrid>
        <w:gridCol w:w="124"/>
        <w:gridCol w:w="109"/>
        <w:gridCol w:w="109"/>
        <w:gridCol w:w="109"/>
        <w:gridCol w:w="109"/>
        <w:gridCol w:w="109"/>
        <w:gridCol w:w="2786"/>
        <w:gridCol w:w="2786"/>
        <w:gridCol w:w="396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86" w:type="dxa"/>
            <w:tcBorders/>
            <w:vAlign w:val="center"/>
          </w:tcPr>
          <w:p>
            <w:pPr>
              <w:pStyle w:val="TableContents"/>
              <w:bidi w:val="0"/>
              <w:spacing w:before="0" w:after="283"/>
              <w:jc w:val="left"/>
              <w:rPr>
                <w:sz w:val="4"/>
                <w:szCs w:val="4"/>
              </w:rPr>
            </w:pPr>
            <w:r>
              <w:rPr>
                <w:sz w:val="4"/>
                <w:szCs w:val="4"/>
              </w:rPr>
            </w:r>
          </w:p>
        </w:tc>
        <w:tc>
          <w:tcPr>
            <w:tcW w:w="2786" w:type="dxa"/>
            <w:tcBorders/>
            <w:vAlign w:val="center"/>
          </w:tcPr>
          <w:p>
            <w:pPr>
              <w:pStyle w:val="TableContents"/>
              <w:bidi w:val="0"/>
              <w:spacing w:before="0" w:after="283"/>
              <w:jc w:val="left"/>
              <w:rPr>
                <w:sz w:val="4"/>
                <w:szCs w:val="4"/>
              </w:rPr>
            </w:pPr>
            <w:r>
              <w:rPr>
                <w:sz w:val="4"/>
                <w:szCs w:val="4"/>
              </w:rPr>
            </w:r>
          </w:p>
        </w:tc>
        <w:tc>
          <w:tcPr>
            <w:tcW w:w="396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0"/>
              <w:jc w:val="left"/>
              <w:rPr>
                <w:rFonts w:ascii="Times New Roman;serif" w:hAnsi="Times New Roman;serif"/>
                <w:b w:val="false"/>
                <w:color w:val="000000"/>
                <w:sz w:val="20"/>
              </w:rPr>
            </w:pPr>
            <w:r>
              <w:rPr>
                <w:rFonts w:ascii="Times New Roman;serif" w:hAnsi="Times New Roman;serif"/>
                <w:b w:val="false"/>
                <w:color w:val="000000"/>
                <w:sz w:val="20"/>
              </w:rPr>
              <w:t>(a)</w:t>
            </w:r>
          </w:p>
        </w:tc>
        <w:tc>
          <w:tcPr>
            <w:tcW w:w="9536" w:type="dxa"/>
            <w:gridSpan w:val="3"/>
            <w:tcBorders/>
            <w:tcMar>
              <w:top w:w="0" w:type="dxa"/>
              <w:left w:w="0" w:type="dxa"/>
              <w:bottom w:w="0" w:type="dxa"/>
              <w:right w:w="0" w:type="dxa"/>
            </w:tcMar>
            <w:vAlign w:val="center"/>
          </w:tcPr>
          <w:p>
            <w:pPr>
              <w:pStyle w:val="TableContents"/>
              <w:bidi w:val="0"/>
              <w:spacing w:lineRule="auto" w:line="240" w:before="0" w:after="20"/>
              <w:jc w:val="left"/>
              <w:rPr>
                <w:rFonts w:ascii="Times New Roman;serif" w:hAnsi="Times New Roman;serif"/>
                <w:b w:val="false"/>
                <w:color w:val="000000"/>
                <w:sz w:val="20"/>
              </w:rPr>
            </w:pPr>
            <w:r>
              <w:rPr>
                <w:rFonts w:ascii="Times New Roman;serif" w:hAnsi="Times New Roman;serif"/>
                <w:b w:val="false"/>
                <w:color w:val="000000"/>
                <w:sz w:val="20"/>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tc>
      </w:tr>
    </w:tbl>
    <w:tbl>
      <w:tblPr>
        <w:tblW w:w="10205" w:type="dxa"/>
        <w:jc w:val="center"/>
        <w:tblInd w:w="0" w:type="dxa"/>
        <w:tblLayout w:type="fixed"/>
        <w:tblCellMar>
          <w:top w:w="28" w:type="dxa"/>
          <w:left w:w="28" w:type="dxa"/>
          <w:bottom w:w="28" w:type="dxa"/>
          <w:right w:w="28" w:type="dxa"/>
        </w:tblCellMar>
      </w:tblPr>
      <w:tblGrid>
        <w:gridCol w:w="124"/>
        <w:gridCol w:w="109"/>
        <w:gridCol w:w="109"/>
        <w:gridCol w:w="109"/>
        <w:gridCol w:w="109"/>
        <w:gridCol w:w="109"/>
        <w:gridCol w:w="2791"/>
        <w:gridCol w:w="2791"/>
        <w:gridCol w:w="39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91" w:type="dxa"/>
            <w:tcBorders/>
            <w:vAlign w:val="center"/>
          </w:tcPr>
          <w:p>
            <w:pPr>
              <w:pStyle w:val="TableContents"/>
              <w:bidi w:val="0"/>
              <w:spacing w:before="0" w:after="283"/>
              <w:jc w:val="left"/>
              <w:rPr>
                <w:sz w:val="4"/>
                <w:szCs w:val="4"/>
              </w:rPr>
            </w:pPr>
            <w:r>
              <w:rPr>
                <w:sz w:val="4"/>
                <w:szCs w:val="4"/>
              </w:rPr>
            </w:r>
          </w:p>
        </w:tc>
        <w:tc>
          <w:tcPr>
            <w:tcW w:w="2791" w:type="dxa"/>
            <w:tcBorders/>
            <w:vAlign w:val="center"/>
          </w:tcPr>
          <w:p>
            <w:pPr>
              <w:pStyle w:val="TableContents"/>
              <w:bidi w:val="0"/>
              <w:spacing w:before="0" w:after="283"/>
              <w:jc w:val="left"/>
              <w:rPr>
                <w:sz w:val="4"/>
                <w:szCs w:val="4"/>
              </w:rPr>
            </w:pPr>
            <w:r>
              <w:rPr>
                <w:sz w:val="4"/>
                <w:szCs w:val="4"/>
              </w:rPr>
            </w:r>
          </w:p>
        </w:tc>
        <w:tc>
          <w:tcPr>
            <w:tcW w:w="39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w:t>
            </w:r>
          </w:p>
        </w:tc>
        <w:tc>
          <w:tcPr>
            <w:tcW w:w="953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tc>
      </w:tr>
    </w:tbl>
    <w:tbl>
      <w:tblPr>
        <w:tblW w:w="10205" w:type="dxa"/>
        <w:jc w:val="center"/>
        <w:tblInd w:w="0" w:type="dxa"/>
        <w:tblLayout w:type="fixed"/>
        <w:tblCellMar>
          <w:top w:w="28" w:type="dxa"/>
          <w:left w:w="28" w:type="dxa"/>
          <w:bottom w:w="28" w:type="dxa"/>
          <w:right w:w="28" w:type="dxa"/>
        </w:tblCellMar>
      </w:tblPr>
      <w:tblGrid>
        <w:gridCol w:w="124"/>
        <w:gridCol w:w="109"/>
        <w:gridCol w:w="109"/>
        <w:gridCol w:w="109"/>
        <w:gridCol w:w="109"/>
        <w:gridCol w:w="109"/>
        <w:gridCol w:w="2786"/>
        <w:gridCol w:w="2786"/>
        <w:gridCol w:w="396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86" w:type="dxa"/>
            <w:tcBorders/>
            <w:vAlign w:val="center"/>
          </w:tcPr>
          <w:p>
            <w:pPr>
              <w:pStyle w:val="TableContents"/>
              <w:bidi w:val="0"/>
              <w:spacing w:before="0" w:after="283"/>
              <w:jc w:val="left"/>
              <w:rPr>
                <w:sz w:val="4"/>
                <w:szCs w:val="4"/>
              </w:rPr>
            </w:pPr>
            <w:r>
              <w:rPr>
                <w:sz w:val="4"/>
                <w:szCs w:val="4"/>
              </w:rPr>
            </w:r>
          </w:p>
        </w:tc>
        <w:tc>
          <w:tcPr>
            <w:tcW w:w="2786" w:type="dxa"/>
            <w:tcBorders/>
            <w:vAlign w:val="center"/>
          </w:tcPr>
          <w:p>
            <w:pPr>
              <w:pStyle w:val="TableContents"/>
              <w:bidi w:val="0"/>
              <w:spacing w:before="0" w:after="283"/>
              <w:jc w:val="left"/>
              <w:rPr>
                <w:sz w:val="4"/>
                <w:szCs w:val="4"/>
              </w:rPr>
            </w:pPr>
            <w:r>
              <w:rPr>
                <w:sz w:val="4"/>
                <w:szCs w:val="4"/>
              </w:rPr>
            </w:r>
          </w:p>
        </w:tc>
        <w:tc>
          <w:tcPr>
            <w:tcW w:w="396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0"/>
              <w:jc w:val="left"/>
              <w:rPr>
                <w:rFonts w:ascii="Times New Roman;serif" w:hAnsi="Times New Roman;serif"/>
                <w:b w:val="false"/>
                <w:color w:val="000000"/>
                <w:sz w:val="20"/>
              </w:rPr>
            </w:pPr>
            <w:r>
              <w:rPr>
                <w:rFonts w:ascii="Times New Roman;serif" w:hAnsi="Times New Roman;serif"/>
                <w:b w:val="false"/>
                <w:color w:val="000000"/>
                <w:sz w:val="20"/>
              </w:rPr>
              <w:t>(c)</w:t>
            </w:r>
          </w:p>
        </w:tc>
        <w:tc>
          <w:tcPr>
            <w:tcW w:w="9536" w:type="dxa"/>
            <w:gridSpan w:val="3"/>
            <w:tcBorders/>
            <w:tcMar>
              <w:top w:w="0" w:type="dxa"/>
              <w:left w:w="0" w:type="dxa"/>
              <w:bottom w:w="0" w:type="dxa"/>
              <w:right w:w="0" w:type="dxa"/>
            </w:tcMar>
            <w:vAlign w:val="center"/>
          </w:tcPr>
          <w:p>
            <w:pPr>
              <w:pStyle w:val="TableContents"/>
              <w:bidi w:val="0"/>
              <w:spacing w:lineRule="auto" w:line="240" w:before="0" w:after="20"/>
              <w:jc w:val="left"/>
              <w:rPr>
                <w:rFonts w:ascii="Times New Roman;serif" w:hAnsi="Times New Roman;serif"/>
                <w:b w:val="false"/>
                <w:color w:val="000000"/>
                <w:sz w:val="20"/>
              </w:rPr>
            </w:pPr>
            <w:r>
              <w:rPr>
                <w:rFonts w:ascii="Times New Roman;serif" w:hAnsi="Times New Roman;serif"/>
                <w:b w:val="false"/>
                <w:color w:val="000000"/>
                <w:sz w:val="20"/>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tc>
      </w:tr>
    </w:tbl>
    <w:tbl>
      <w:tblPr>
        <w:tblW w:w="10205" w:type="dxa"/>
        <w:jc w:val="center"/>
        <w:tblInd w:w="0" w:type="dxa"/>
        <w:tblLayout w:type="fixed"/>
        <w:tblCellMar>
          <w:top w:w="28" w:type="dxa"/>
          <w:left w:w="28" w:type="dxa"/>
          <w:bottom w:w="28" w:type="dxa"/>
          <w:right w:w="28" w:type="dxa"/>
        </w:tblCellMar>
      </w:tblPr>
      <w:tblGrid>
        <w:gridCol w:w="124"/>
        <w:gridCol w:w="109"/>
        <w:gridCol w:w="109"/>
        <w:gridCol w:w="109"/>
        <w:gridCol w:w="109"/>
        <w:gridCol w:w="109"/>
        <w:gridCol w:w="2788"/>
        <w:gridCol w:w="2788"/>
        <w:gridCol w:w="3960"/>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88" w:type="dxa"/>
            <w:tcBorders/>
            <w:vAlign w:val="center"/>
          </w:tcPr>
          <w:p>
            <w:pPr>
              <w:pStyle w:val="TableContents"/>
              <w:bidi w:val="0"/>
              <w:spacing w:before="0" w:after="283"/>
              <w:jc w:val="left"/>
              <w:rPr>
                <w:sz w:val="4"/>
                <w:szCs w:val="4"/>
              </w:rPr>
            </w:pPr>
            <w:r>
              <w:rPr>
                <w:sz w:val="4"/>
                <w:szCs w:val="4"/>
              </w:rPr>
            </w:r>
          </w:p>
        </w:tc>
        <w:tc>
          <w:tcPr>
            <w:tcW w:w="2788" w:type="dxa"/>
            <w:tcBorders/>
            <w:vAlign w:val="center"/>
          </w:tcPr>
          <w:p>
            <w:pPr>
              <w:pStyle w:val="TableContents"/>
              <w:bidi w:val="0"/>
              <w:spacing w:before="0" w:after="283"/>
              <w:jc w:val="left"/>
              <w:rPr>
                <w:sz w:val="4"/>
                <w:szCs w:val="4"/>
              </w:rPr>
            </w:pPr>
            <w:r>
              <w:rPr>
                <w:sz w:val="4"/>
                <w:szCs w:val="4"/>
              </w:rPr>
            </w:r>
          </w:p>
        </w:tc>
        <w:tc>
          <w:tcPr>
            <w:tcW w:w="3960"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0"/>
              <w:jc w:val="left"/>
              <w:rPr>
                <w:rFonts w:ascii="Times New Roman;serif" w:hAnsi="Times New Roman;serif"/>
                <w:b w:val="false"/>
                <w:color w:val="000000"/>
                <w:sz w:val="20"/>
              </w:rPr>
            </w:pPr>
            <w:r>
              <w:rPr>
                <w:rFonts w:ascii="Times New Roman;serif" w:hAnsi="Times New Roman;serif"/>
                <w:b w:val="false"/>
                <w:color w:val="000000"/>
                <w:sz w:val="20"/>
              </w:rPr>
              <w:t>(d)</w:t>
            </w:r>
          </w:p>
        </w:tc>
        <w:tc>
          <w:tcPr>
            <w:tcW w:w="9536" w:type="dxa"/>
            <w:gridSpan w:val="3"/>
            <w:tcBorders/>
            <w:tcMar>
              <w:top w:w="0" w:type="dxa"/>
              <w:left w:w="0" w:type="dxa"/>
              <w:bottom w:w="0" w:type="dxa"/>
              <w:right w:w="0" w:type="dxa"/>
            </w:tcMar>
            <w:vAlign w:val="center"/>
          </w:tcPr>
          <w:p>
            <w:pPr>
              <w:pStyle w:val="TableContents"/>
              <w:bidi w:val="0"/>
              <w:spacing w:lineRule="auto" w:line="240" w:before="0" w:after="20"/>
              <w:jc w:val="left"/>
              <w:rPr>
                <w:rFonts w:ascii="Times New Roman;serif" w:hAnsi="Times New Roman;serif"/>
                <w:b w:val="false"/>
                <w:color w:val="000000"/>
                <w:sz w:val="20"/>
              </w:rPr>
            </w:pPr>
            <w:r>
              <w:rPr>
                <w:rFonts w:ascii="Times New Roman;serif" w:hAnsi="Times New Roman;serif"/>
                <w:b w:val="false"/>
                <w:color w:val="000000"/>
                <w:sz w:val="20"/>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w:t>
            </w:r>
          </w:p>
        </w:tc>
      </w:tr>
    </w:tbl>
    <w:p>
      <w:pPr>
        <w:pStyle w:val="TextBody"/>
        <w:bidi w:val="0"/>
        <w:spacing w:lineRule="auto" w:line="288" w:before="100" w:after="283"/>
        <w:jc w:val="both"/>
        <w:rPr>
          <w:rFonts w:ascii="Times New Roman;serif" w:hAnsi="Times New Roman;serif"/>
          <w:b w:val="false"/>
          <w:color w:val="000000"/>
          <w:sz w:val="20"/>
        </w:rPr>
      </w:pPr>
      <w:r>
        <w:rPr>
          <w:rFonts w:ascii="Times New Roman;serif" w:hAnsi="Times New Roman;serif"/>
          <w:b w:val="false"/>
          <w:color w:val="000000"/>
          <w:sz w:val="20"/>
        </w:rPr>
        <w:t>5. 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tbl>
      <w:tblPr>
        <w:tblW w:w="10205" w:type="dxa"/>
        <w:jc w:val="center"/>
        <w:tblInd w:w="0" w:type="dxa"/>
        <w:tblLayout w:type="fixed"/>
        <w:tblCellMar>
          <w:top w:w="28" w:type="dxa"/>
          <w:left w:w="28" w:type="dxa"/>
          <w:bottom w:w="28" w:type="dxa"/>
          <w:right w:w="28" w:type="dxa"/>
        </w:tblCellMar>
      </w:tblPr>
      <w:tblGrid>
        <w:gridCol w:w="124"/>
        <w:gridCol w:w="109"/>
        <w:gridCol w:w="109"/>
        <w:gridCol w:w="109"/>
        <w:gridCol w:w="109"/>
        <w:gridCol w:w="109"/>
        <w:gridCol w:w="2793"/>
        <w:gridCol w:w="2793"/>
        <w:gridCol w:w="3950"/>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93" w:type="dxa"/>
            <w:tcBorders/>
            <w:vAlign w:val="center"/>
          </w:tcPr>
          <w:p>
            <w:pPr>
              <w:pStyle w:val="TableContents"/>
              <w:bidi w:val="0"/>
              <w:spacing w:before="0" w:after="283"/>
              <w:jc w:val="left"/>
              <w:rPr>
                <w:sz w:val="4"/>
                <w:szCs w:val="4"/>
              </w:rPr>
            </w:pPr>
            <w:r>
              <w:rPr>
                <w:sz w:val="4"/>
                <w:szCs w:val="4"/>
              </w:rPr>
            </w:r>
          </w:p>
        </w:tc>
        <w:tc>
          <w:tcPr>
            <w:tcW w:w="2793" w:type="dxa"/>
            <w:tcBorders/>
            <w:vAlign w:val="center"/>
          </w:tcPr>
          <w:p>
            <w:pPr>
              <w:pStyle w:val="TableContents"/>
              <w:bidi w:val="0"/>
              <w:spacing w:before="0" w:after="283"/>
              <w:jc w:val="left"/>
              <w:rPr>
                <w:sz w:val="4"/>
                <w:szCs w:val="4"/>
              </w:rPr>
            </w:pPr>
            <w:r>
              <w:rPr>
                <w:sz w:val="4"/>
                <w:szCs w:val="4"/>
              </w:rPr>
            </w:r>
          </w:p>
        </w:tc>
        <w:tc>
          <w:tcPr>
            <w:tcW w:w="3950"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0"/>
              <w:jc w:val="left"/>
              <w:rPr>
                <w:rFonts w:ascii="Times New Roman;serif" w:hAnsi="Times New Roman;serif"/>
                <w:b w:val="false"/>
                <w:color w:val="000000"/>
                <w:sz w:val="20"/>
              </w:rPr>
            </w:pPr>
            <w:r>
              <w:rPr>
                <w:rFonts w:ascii="Times New Roman;serif" w:hAnsi="Times New Roman;serif"/>
                <w:b w:val="false"/>
                <w:color w:val="000000"/>
                <w:sz w:val="20"/>
              </w:rPr>
              <w:t>(a)</w:t>
            </w:r>
          </w:p>
        </w:tc>
        <w:tc>
          <w:tcPr>
            <w:tcW w:w="9536" w:type="dxa"/>
            <w:gridSpan w:val="3"/>
            <w:tcBorders/>
            <w:tcMar>
              <w:top w:w="0" w:type="dxa"/>
              <w:left w:w="0" w:type="dxa"/>
              <w:bottom w:w="0" w:type="dxa"/>
              <w:right w:w="0" w:type="dxa"/>
            </w:tcMar>
            <w:vAlign w:val="center"/>
          </w:tcPr>
          <w:p>
            <w:pPr>
              <w:pStyle w:val="TableContents"/>
              <w:bidi w:val="0"/>
              <w:spacing w:lineRule="auto" w:line="240" w:before="0" w:after="20"/>
              <w:jc w:val="left"/>
              <w:rPr>
                <w:rFonts w:ascii="Times New Roman;serif" w:hAnsi="Times New Roman;serif"/>
                <w:b w:val="false"/>
                <w:color w:val="000000"/>
                <w:sz w:val="20"/>
              </w:rPr>
            </w:pPr>
            <w:r>
              <w:rPr>
                <w:rFonts w:ascii="Times New Roman;serif" w:hAnsi="Times New Roman;serif"/>
                <w:b w:val="false"/>
                <w:color w:val="000000"/>
                <w:sz w:val="20"/>
              </w:rPr>
              <w:t>All significant deficiencies and material weaknesses in the design or operation of internal control over financial reporting which are reasonably likely to adversely affect the registrant's ability to record, process, summarize and report financial information; and</w:t>
            </w:r>
          </w:p>
        </w:tc>
      </w:tr>
    </w:tbl>
    <w:tbl>
      <w:tblPr>
        <w:tblW w:w="10205" w:type="dxa"/>
        <w:jc w:val="center"/>
        <w:tblInd w:w="0" w:type="dxa"/>
        <w:tblLayout w:type="fixed"/>
        <w:tblCellMar>
          <w:top w:w="28" w:type="dxa"/>
          <w:left w:w="28" w:type="dxa"/>
          <w:bottom w:w="28" w:type="dxa"/>
          <w:right w:w="28" w:type="dxa"/>
        </w:tblCellMar>
      </w:tblPr>
      <w:tblGrid>
        <w:gridCol w:w="124"/>
        <w:gridCol w:w="109"/>
        <w:gridCol w:w="109"/>
        <w:gridCol w:w="109"/>
        <w:gridCol w:w="109"/>
        <w:gridCol w:w="109"/>
        <w:gridCol w:w="2789"/>
        <w:gridCol w:w="2789"/>
        <w:gridCol w:w="3958"/>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89" w:type="dxa"/>
            <w:tcBorders/>
            <w:vAlign w:val="center"/>
          </w:tcPr>
          <w:p>
            <w:pPr>
              <w:pStyle w:val="TableContents"/>
              <w:bidi w:val="0"/>
              <w:spacing w:before="0" w:after="283"/>
              <w:jc w:val="left"/>
              <w:rPr>
                <w:sz w:val="4"/>
                <w:szCs w:val="4"/>
              </w:rPr>
            </w:pPr>
            <w:r>
              <w:rPr>
                <w:sz w:val="4"/>
                <w:szCs w:val="4"/>
              </w:rPr>
            </w:r>
          </w:p>
        </w:tc>
        <w:tc>
          <w:tcPr>
            <w:tcW w:w="2789" w:type="dxa"/>
            <w:tcBorders/>
            <w:vAlign w:val="center"/>
          </w:tcPr>
          <w:p>
            <w:pPr>
              <w:pStyle w:val="TableContents"/>
              <w:bidi w:val="0"/>
              <w:spacing w:before="0" w:after="283"/>
              <w:jc w:val="left"/>
              <w:rPr>
                <w:sz w:val="4"/>
                <w:szCs w:val="4"/>
              </w:rPr>
            </w:pPr>
            <w:r>
              <w:rPr>
                <w:sz w:val="4"/>
                <w:szCs w:val="4"/>
              </w:rPr>
            </w:r>
          </w:p>
        </w:tc>
        <w:tc>
          <w:tcPr>
            <w:tcW w:w="3958"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0"/>
              <w:jc w:val="left"/>
              <w:rPr>
                <w:rFonts w:ascii="Times New Roman;serif" w:hAnsi="Times New Roman;serif"/>
                <w:b w:val="false"/>
                <w:color w:val="000000"/>
                <w:sz w:val="20"/>
              </w:rPr>
            </w:pPr>
            <w:r>
              <w:rPr>
                <w:rFonts w:ascii="Times New Roman;serif" w:hAnsi="Times New Roman;serif"/>
                <w:b w:val="false"/>
                <w:color w:val="000000"/>
                <w:sz w:val="20"/>
              </w:rPr>
              <w:t>(b)</w:t>
            </w:r>
          </w:p>
        </w:tc>
        <w:tc>
          <w:tcPr>
            <w:tcW w:w="9536" w:type="dxa"/>
            <w:gridSpan w:val="3"/>
            <w:tcBorders/>
            <w:tcMar>
              <w:top w:w="0" w:type="dxa"/>
              <w:left w:w="0" w:type="dxa"/>
              <w:bottom w:w="0" w:type="dxa"/>
              <w:right w:w="0" w:type="dxa"/>
            </w:tcMar>
            <w:vAlign w:val="center"/>
          </w:tcPr>
          <w:p>
            <w:pPr>
              <w:pStyle w:val="TableContents"/>
              <w:bidi w:val="0"/>
              <w:spacing w:lineRule="auto" w:line="240" w:before="0" w:after="20"/>
              <w:jc w:val="left"/>
              <w:rPr>
                <w:rFonts w:ascii="Times New Roman;serif" w:hAnsi="Times New Roman;serif"/>
                <w:b w:val="false"/>
                <w:color w:val="000000"/>
                <w:sz w:val="20"/>
              </w:rPr>
            </w:pPr>
            <w:r>
              <w:rPr>
                <w:rFonts w:ascii="Times New Roman;serif" w:hAnsi="Times New Roman;serif"/>
                <w:b w:val="false"/>
                <w:color w:val="000000"/>
                <w:sz w:val="20"/>
              </w:rPr>
              <w:t>Any fraud, whether or not material, that involves management or other employees who have a significant role in the registrant's internal control over financial reporting.</w:t>
            </w:r>
          </w:p>
        </w:tc>
      </w:tr>
    </w:tbl>
    <w:p>
      <w:pPr>
        <w:pStyle w:val="TextBody"/>
        <w:bidi w:val="0"/>
        <w:spacing w:lineRule="auto" w:line="288" w:before="10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Date: November 6, 2025 </w:t>
      </w:r>
    </w:p>
    <w:p>
      <w:pPr>
        <w:pStyle w:val="TextBody"/>
        <w:bidi w:val="0"/>
        <w:spacing w:before="0" w:after="0"/>
        <w:jc w:val="left"/>
        <w:rPr/>
      </w:pPr>
      <w:r>
        <w:rPr/>
      </w:r>
    </w:p>
    <w:tbl>
      <w:tblPr>
        <w:tblW w:w="2754" w:type="dxa"/>
        <w:jc w:val="center"/>
        <w:tblInd w:w="0" w:type="dxa"/>
        <w:tblLayout w:type="fixed"/>
        <w:tblCellMar>
          <w:top w:w="28" w:type="dxa"/>
          <w:left w:w="28" w:type="dxa"/>
          <w:bottom w:w="28" w:type="dxa"/>
          <w:right w:w="28" w:type="dxa"/>
        </w:tblCellMar>
      </w:tblPr>
      <w:tblGrid>
        <w:gridCol w:w="124"/>
        <w:gridCol w:w="109"/>
        <w:gridCol w:w="109"/>
        <w:gridCol w:w="649"/>
        <w:gridCol w:w="649"/>
        <w:gridCol w:w="652"/>
        <w:gridCol w:w="135"/>
        <w:gridCol w:w="135"/>
        <w:gridCol w:w="192"/>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49" w:type="dxa"/>
            <w:tcBorders/>
            <w:vAlign w:val="center"/>
          </w:tcPr>
          <w:p>
            <w:pPr>
              <w:pStyle w:val="TableContents"/>
              <w:bidi w:val="0"/>
              <w:spacing w:before="0" w:after="283"/>
              <w:jc w:val="left"/>
              <w:rPr>
                <w:sz w:val="4"/>
                <w:szCs w:val="4"/>
              </w:rPr>
            </w:pPr>
            <w:r>
              <w:rPr>
                <w:sz w:val="4"/>
                <w:szCs w:val="4"/>
              </w:rPr>
            </w:r>
          </w:p>
        </w:tc>
        <w:tc>
          <w:tcPr>
            <w:tcW w:w="649" w:type="dxa"/>
            <w:tcBorders/>
            <w:vAlign w:val="center"/>
          </w:tcPr>
          <w:p>
            <w:pPr>
              <w:pStyle w:val="TableContents"/>
              <w:bidi w:val="0"/>
              <w:spacing w:before="0" w:after="283"/>
              <w:jc w:val="left"/>
              <w:rPr>
                <w:sz w:val="4"/>
                <w:szCs w:val="4"/>
              </w:rPr>
            </w:pPr>
            <w:r>
              <w:rPr>
                <w:sz w:val="4"/>
                <w:szCs w:val="4"/>
              </w:rPr>
            </w:r>
          </w:p>
        </w:tc>
        <w:tc>
          <w:tcPr>
            <w:tcW w:w="652" w:type="dxa"/>
            <w:tcBorders/>
            <w:vAlign w:val="center"/>
          </w:tcPr>
          <w:p>
            <w:pPr>
              <w:pStyle w:val="TableContents"/>
              <w:bidi w:val="0"/>
              <w:spacing w:before="0" w:after="283"/>
              <w:jc w:val="left"/>
              <w:rPr>
                <w:sz w:val="4"/>
                <w:szCs w:val="4"/>
              </w:rPr>
            </w:pPr>
            <w:r>
              <w:rPr>
                <w:sz w:val="4"/>
                <w:szCs w:val="4"/>
              </w:rPr>
            </w:r>
          </w:p>
        </w:tc>
        <w:tc>
          <w:tcPr>
            <w:tcW w:w="135" w:type="dxa"/>
            <w:tcBorders/>
            <w:vAlign w:val="center"/>
          </w:tcPr>
          <w:p>
            <w:pPr>
              <w:pStyle w:val="TableContents"/>
              <w:bidi w:val="0"/>
              <w:spacing w:before="0" w:after="283"/>
              <w:jc w:val="left"/>
              <w:rPr>
                <w:sz w:val="4"/>
                <w:szCs w:val="4"/>
              </w:rPr>
            </w:pPr>
            <w:r>
              <w:rPr>
                <w:sz w:val="4"/>
                <w:szCs w:val="4"/>
              </w:rPr>
            </w:r>
          </w:p>
        </w:tc>
        <w:tc>
          <w:tcPr>
            <w:tcW w:w="135" w:type="dxa"/>
            <w:tcBorders/>
            <w:vAlign w:val="center"/>
          </w:tcPr>
          <w:p>
            <w:pPr>
              <w:pStyle w:val="TableContents"/>
              <w:bidi w:val="0"/>
              <w:spacing w:before="0" w:after="283"/>
              <w:jc w:val="left"/>
              <w:rPr>
                <w:sz w:val="4"/>
                <w:szCs w:val="4"/>
              </w:rPr>
            </w:pPr>
            <w:r>
              <w:rPr>
                <w:sz w:val="4"/>
                <w:szCs w:val="4"/>
              </w:rPr>
            </w:r>
          </w:p>
        </w:tc>
        <w:tc>
          <w:tcPr>
            <w:tcW w:w="192"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50" w:type="dxa"/>
            <w:gridSpan w:val="3"/>
            <w:tcBorders/>
            <w:tcMar>
              <w:top w:w="0" w:type="dxa"/>
              <w:left w:w="0" w:type="dxa"/>
              <w:bottom w:w="0" w:type="dxa"/>
              <w:right w:w="0" w:type="dxa"/>
            </w:tcMar>
            <w:vAlign w:val="center"/>
          </w:tcPr>
          <w:p>
            <w:pPr>
              <w:pStyle w:val="TableContents"/>
              <w:bidi w:val="0"/>
              <w:spacing w:lineRule="auto" w:line="240" w:before="0" w:after="20"/>
              <w:jc w:val="left"/>
              <w:rPr>
                <w:rFonts w:ascii="Times New Roman;serif" w:hAnsi="Times New Roman;serif"/>
                <w:b w:val="false"/>
                <w:color w:val="000000"/>
                <w:sz w:val="20"/>
              </w:rPr>
            </w:pPr>
            <w:r>
              <w:rPr>
                <w:rFonts w:ascii="Times New Roman;serif" w:hAnsi="Times New Roman;serif"/>
                <w:b w:val="false"/>
                <w:color w:val="000000"/>
                <w:sz w:val="20"/>
              </w:rPr>
              <w:t>/s/  MIKE HYNES</w:t>
            </w:r>
          </w:p>
        </w:tc>
        <w:tc>
          <w:tcPr>
            <w:tcW w:w="46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5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0"/>
              <w:jc w:val="left"/>
              <w:rPr>
                <w:rFonts w:ascii="Times New Roman;serif" w:hAnsi="Times New Roman;serif"/>
                <w:b w:val="false"/>
                <w:color w:val="000000"/>
                <w:sz w:val="20"/>
              </w:rPr>
            </w:pPr>
            <w:r>
              <w:rPr>
                <w:rFonts w:ascii="Times New Roman;serif" w:hAnsi="Times New Roman;serif"/>
                <w:b w:val="false"/>
                <w:color w:val="000000"/>
                <w:sz w:val="20"/>
              </w:rPr>
              <w:t>Mike Hynes</w:t>
            </w:r>
          </w:p>
        </w:tc>
        <w:tc>
          <w:tcPr>
            <w:tcW w:w="46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2" w:type="dxa"/>
            <w:gridSpan w:val="6"/>
            <w:tcBorders/>
            <w:tcMar>
              <w:top w:w="0" w:type="dxa"/>
              <w:left w:w="0" w:type="dxa"/>
              <w:bottom w:w="0" w:type="dxa"/>
              <w:right w:w="0" w:type="dxa"/>
            </w:tcMar>
            <w:vAlign w:val="center"/>
          </w:tcPr>
          <w:p>
            <w:pPr>
              <w:pStyle w:val="TableContents"/>
              <w:bidi w:val="0"/>
              <w:spacing w:lineRule="auto" w:line="240" w:before="0" w:after="20"/>
              <w:jc w:val="left"/>
              <w:rPr>
                <w:rFonts w:ascii="Times New Roman;serif" w:hAnsi="Times New Roman;serif"/>
                <w:b w:val="false"/>
                <w:color w:val="000000"/>
                <w:sz w:val="20"/>
              </w:rPr>
            </w:pPr>
            <w:r>
              <w:rPr>
                <w:rFonts w:ascii="Times New Roman;serif" w:hAnsi="Times New Roman;serif"/>
                <w:b w:val="false"/>
                <w:color w:val="000000"/>
                <w:sz w:val="20"/>
              </w:rPr>
              <w:t>Chief Financial Officer</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2" w:type="dxa"/>
            <w:gridSpan w:val="6"/>
            <w:tcBorders/>
            <w:tcMar>
              <w:top w:w="0" w:type="dxa"/>
              <w:left w:w="0" w:type="dxa"/>
              <w:bottom w:w="0" w:type="dxa"/>
              <w:right w:w="0" w:type="dxa"/>
            </w:tcMar>
            <w:vAlign w:val="center"/>
          </w:tcPr>
          <w:p>
            <w:pPr>
              <w:pStyle w:val="TableContents"/>
              <w:bidi w:val="0"/>
              <w:spacing w:lineRule="auto" w:line="240" w:before="0" w:after="20"/>
              <w:jc w:val="left"/>
              <w:rPr>
                <w:rFonts w:ascii="Times New Roman;serif" w:hAnsi="Times New Roman;serif"/>
                <w:b w:val="false"/>
                <w:color w:val="000000"/>
                <w:sz w:val="20"/>
              </w:rPr>
            </w:pPr>
            <w:r>
              <w:rPr>
                <w:rFonts w:ascii="Times New Roman;serif" w:hAnsi="Times New Roman;serif"/>
                <w:b w:val="false"/>
                <w:color w:val="000000"/>
                <w:sz w:val="20"/>
              </w:rPr>
              <w:t>(Principal Financial Officer)</w:t>
            </w:r>
          </w:p>
        </w:tc>
      </w:tr>
    </w:tbl>
    <w:p>
      <w:pPr>
        <w:pStyle w:val="TextBody"/>
        <w:bidi w:val="0"/>
        <w:spacing w:before="0" w:after="283"/>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37">
                <wp:simplePos x="0" y="0"/>
                <wp:positionH relativeFrom="character">
                  <wp:align>left</wp:align>
                </wp:positionH>
                <wp:positionV relativeFrom="line">
                  <wp:posOffset>635</wp:posOffset>
                </wp:positionV>
                <wp:extent cx="6480175" cy="175260"/>
                <wp:effectExtent l="0" t="0" r="0" b="0"/>
                <wp:wrapNone/>
                <wp:docPr id="36" name="Frame36"/>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180" w:after="283"/>
        <w:jc w:val="right"/>
        <w:rPr>
          <w:rFonts w:ascii="Times New Roman;serif" w:hAnsi="Times New Roman;serif"/>
          <w:b/>
          <w:color w:val="000000"/>
          <w:sz w:val="20"/>
        </w:rPr>
      </w:pPr>
      <w:r>
        <w:rPr>
          <w:rFonts w:ascii="Times New Roman;serif" w:hAnsi="Times New Roman;serif"/>
          <w:b/>
          <w:color w:val="000000"/>
          <w:sz w:val="20"/>
        </w:rPr>
        <w:t>Exhibit 32.1</w:t>
      </w:r>
    </w:p>
    <w:p>
      <w:pPr>
        <w:pStyle w:val="TextBody"/>
        <w:bidi w:val="0"/>
        <w:spacing w:lineRule="auto" w:line="288" w:before="180" w:after="283"/>
        <w:jc w:val="center"/>
        <w:rPr>
          <w:rFonts w:ascii="Times New Roman;serif" w:hAnsi="Times New Roman;serif"/>
          <w:b/>
          <w:color w:val="000000"/>
          <w:sz w:val="20"/>
        </w:rPr>
      </w:pPr>
      <w:r>
        <w:rPr>
          <w:rFonts w:ascii="Times New Roman;serif" w:hAnsi="Times New Roman;serif"/>
          <w:b/>
          <w:color w:val="000000"/>
          <w:sz w:val="20"/>
        </w:rPr>
        <w:t xml:space="preserve">CERTIFICATION OF CHIEF EXECUTIVE OFFICER AND CHIEF FINANCIAL OFFICER </w:t>
      </w:r>
    </w:p>
    <w:p>
      <w:pPr>
        <w:pStyle w:val="TextBody"/>
        <w:bidi w:val="0"/>
        <w:spacing w:before="0" w:after="0"/>
        <w:jc w:val="center"/>
        <w:rPr/>
      </w:pPr>
      <w:r>
        <w:rPr/>
      </w:r>
    </w:p>
    <w:p>
      <w:pPr>
        <w:pStyle w:val="TextBody"/>
        <w:bidi w:val="0"/>
        <w:spacing w:lineRule="auto" w:line="288" w:before="18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I, Joseph Christina, certify, pursuant to 18 U.S.C. Section 1350, as adopted pursuant to Section 906 of the Sarbanes-Oxley Act of 2002, that the Quarterly Report of Noodles &amp; Company on Form 10-Q for the fiscal quarter ended September 30, 2025 fully complies with the requirements of Section 13(a) or 15(d) of the Securities Exchange Act of 1934 and that information contained in such Quarterly Report on Form 10-Q fairly presents, in all material respects the financial condition and results of operations of Noodles &amp; Company. </w:t>
      </w:r>
    </w:p>
    <w:p>
      <w:pPr>
        <w:pStyle w:val="TextBody"/>
        <w:bidi w:val="0"/>
        <w:spacing w:lineRule="auto" w:line="288" w:before="18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Date: November 6, 2025 </w:t>
      </w:r>
    </w:p>
    <w:p>
      <w:pPr>
        <w:pStyle w:val="TextBody"/>
        <w:bidi w:val="0"/>
        <w:spacing w:lineRule="auto" w:line="288" w:before="0" w:after="0"/>
        <w:jc w:val="left"/>
        <w:rPr>
          <w:color w:val="000000"/>
        </w:rPr>
      </w:pPr>
      <w:r>
        <w:rPr>
          <w:color w:val="000000"/>
        </w:rPr>
        <w:t> </w:t>
      </w:r>
    </w:p>
    <w:tbl>
      <w:tblPr>
        <w:tblW w:w="3428" w:type="dxa"/>
        <w:jc w:val="center"/>
        <w:tblInd w:w="0" w:type="dxa"/>
        <w:tblLayout w:type="fixed"/>
        <w:tblCellMar>
          <w:top w:w="28" w:type="dxa"/>
          <w:left w:w="28" w:type="dxa"/>
          <w:bottom w:w="28" w:type="dxa"/>
          <w:right w:w="28" w:type="dxa"/>
        </w:tblCellMar>
      </w:tblPr>
      <w:tblGrid>
        <w:gridCol w:w="124"/>
        <w:gridCol w:w="109"/>
        <w:gridCol w:w="109"/>
        <w:gridCol w:w="208"/>
        <w:gridCol w:w="208"/>
        <w:gridCol w:w="213"/>
        <w:gridCol w:w="109"/>
        <w:gridCol w:w="109"/>
        <w:gridCol w:w="109"/>
        <w:gridCol w:w="624"/>
        <w:gridCol w:w="624"/>
        <w:gridCol w:w="882"/>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8" w:type="dxa"/>
            <w:tcBorders/>
            <w:vAlign w:val="center"/>
          </w:tcPr>
          <w:p>
            <w:pPr>
              <w:pStyle w:val="TableContents"/>
              <w:bidi w:val="0"/>
              <w:spacing w:before="0" w:after="283"/>
              <w:jc w:val="left"/>
              <w:rPr>
                <w:sz w:val="4"/>
                <w:szCs w:val="4"/>
              </w:rPr>
            </w:pPr>
            <w:r>
              <w:rPr>
                <w:sz w:val="4"/>
                <w:szCs w:val="4"/>
              </w:rPr>
            </w:r>
          </w:p>
        </w:tc>
        <w:tc>
          <w:tcPr>
            <w:tcW w:w="208"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24" w:type="dxa"/>
            <w:tcBorders/>
            <w:vAlign w:val="center"/>
          </w:tcPr>
          <w:p>
            <w:pPr>
              <w:pStyle w:val="TableContents"/>
              <w:bidi w:val="0"/>
              <w:spacing w:before="0" w:after="283"/>
              <w:jc w:val="left"/>
              <w:rPr>
                <w:sz w:val="4"/>
                <w:szCs w:val="4"/>
              </w:rPr>
            </w:pPr>
            <w:r>
              <w:rPr>
                <w:sz w:val="4"/>
                <w:szCs w:val="4"/>
              </w:rPr>
            </w:r>
          </w:p>
        </w:tc>
        <w:tc>
          <w:tcPr>
            <w:tcW w:w="624" w:type="dxa"/>
            <w:tcBorders/>
            <w:vAlign w:val="center"/>
          </w:tcPr>
          <w:p>
            <w:pPr>
              <w:pStyle w:val="TableContents"/>
              <w:bidi w:val="0"/>
              <w:spacing w:before="0" w:after="283"/>
              <w:jc w:val="left"/>
              <w:rPr>
                <w:sz w:val="4"/>
                <w:szCs w:val="4"/>
              </w:rPr>
            </w:pPr>
            <w:r>
              <w:rPr>
                <w:sz w:val="4"/>
                <w:szCs w:val="4"/>
              </w:rPr>
            </w:r>
          </w:p>
        </w:tc>
        <w:tc>
          <w:tcPr>
            <w:tcW w:w="882"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By:</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13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 JOSEPH CHRISTINA</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Name:</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13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Joseph Christina</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Title:</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13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Chief Executive Officer </w:t>
            </w:r>
          </w:p>
        </w:tc>
      </w:tr>
    </w:tbl>
    <w:p>
      <w:pPr>
        <w:pStyle w:val="TextBody"/>
        <w:bidi w:val="0"/>
        <w:spacing w:before="0" w:after="0"/>
        <w:jc w:val="center"/>
        <w:rPr/>
      </w:pPr>
      <w:r>
        <w:rPr/>
      </w:r>
    </w:p>
    <w:p>
      <w:pPr>
        <w:pStyle w:val="TextBody"/>
        <w:bidi w:val="0"/>
        <w:spacing w:lineRule="auto" w:line="288" w:before="18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I, Mike Hynes, certify, pursuant to 18 U.S.C. Section 1350, as adopted pursuant to Section 906 of the Sarbanes-Oxley Act of 2002, that the Quarterly Report of Noodles &amp; Company on Form 10-Q for the fiscal quarter ended September 30, 2025 fully complies with the requirements of Section 13(a) or 15(d) of the Securities Exchange Act of 1934 and that information contained in such Quarterly Report on Form 10-Q fairly presents, in all material respects the financial condition and results of operations of Noodles &amp; Company. </w:t>
      </w:r>
    </w:p>
    <w:p>
      <w:pPr>
        <w:pStyle w:val="TextBody"/>
        <w:bidi w:val="0"/>
        <w:spacing w:lineRule="auto" w:line="288" w:before="18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Date: November 6, 2025 </w:t>
      </w:r>
    </w:p>
    <w:p>
      <w:pPr>
        <w:pStyle w:val="TextBody"/>
        <w:bidi w:val="0"/>
        <w:spacing w:lineRule="auto" w:line="288" w:before="0" w:after="0"/>
        <w:jc w:val="left"/>
        <w:rPr>
          <w:color w:val="000000"/>
        </w:rPr>
      </w:pPr>
      <w:r>
        <w:rPr>
          <w:color w:val="000000"/>
        </w:rPr>
        <w:t> </w:t>
      </w:r>
    </w:p>
    <w:tbl>
      <w:tblPr>
        <w:tblW w:w="3353" w:type="dxa"/>
        <w:jc w:val="center"/>
        <w:tblInd w:w="0" w:type="dxa"/>
        <w:tblLayout w:type="fixed"/>
        <w:tblCellMar>
          <w:top w:w="28" w:type="dxa"/>
          <w:left w:w="28" w:type="dxa"/>
          <w:bottom w:w="28" w:type="dxa"/>
          <w:right w:w="28" w:type="dxa"/>
        </w:tblCellMar>
      </w:tblPr>
      <w:tblGrid>
        <w:gridCol w:w="124"/>
        <w:gridCol w:w="109"/>
        <w:gridCol w:w="109"/>
        <w:gridCol w:w="208"/>
        <w:gridCol w:w="208"/>
        <w:gridCol w:w="213"/>
        <w:gridCol w:w="109"/>
        <w:gridCol w:w="109"/>
        <w:gridCol w:w="109"/>
        <w:gridCol w:w="600"/>
        <w:gridCol w:w="600"/>
        <w:gridCol w:w="855"/>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8" w:type="dxa"/>
            <w:tcBorders/>
            <w:vAlign w:val="center"/>
          </w:tcPr>
          <w:p>
            <w:pPr>
              <w:pStyle w:val="TableContents"/>
              <w:bidi w:val="0"/>
              <w:spacing w:before="0" w:after="283"/>
              <w:jc w:val="left"/>
              <w:rPr>
                <w:sz w:val="4"/>
                <w:szCs w:val="4"/>
              </w:rPr>
            </w:pPr>
            <w:r>
              <w:rPr>
                <w:sz w:val="4"/>
                <w:szCs w:val="4"/>
              </w:rPr>
            </w:r>
          </w:p>
        </w:tc>
        <w:tc>
          <w:tcPr>
            <w:tcW w:w="208"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00" w:type="dxa"/>
            <w:tcBorders/>
            <w:vAlign w:val="center"/>
          </w:tcPr>
          <w:p>
            <w:pPr>
              <w:pStyle w:val="TableContents"/>
              <w:bidi w:val="0"/>
              <w:spacing w:before="0" w:after="283"/>
              <w:jc w:val="left"/>
              <w:rPr>
                <w:sz w:val="4"/>
                <w:szCs w:val="4"/>
              </w:rPr>
            </w:pPr>
            <w:r>
              <w:rPr>
                <w:sz w:val="4"/>
                <w:szCs w:val="4"/>
              </w:rPr>
            </w:r>
          </w:p>
        </w:tc>
        <w:tc>
          <w:tcPr>
            <w:tcW w:w="600" w:type="dxa"/>
            <w:tcBorders/>
            <w:vAlign w:val="center"/>
          </w:tcPr>
          <w:p>
            <w:pPr>
              <w:pStyle w:val="TableContents"/>
              <w:bidi w:val="0"/>
              <w:spacing w:before="0" w:after="283"/>
              <w:jc w:val="left"/>
              <w:rPr>
                <w:sz w:val="4"/>
                <w:szCs w:val="4"/>
              </w:rPr>
            </w:pPr>
            <w:r>
              <w:rPr>
                <w:sz w:val="4"/>
                <w:szCs w:val="4"/>
              </w:rPr>
            </w:r>
          </w:p>
        </w:tc>
        <w:tc>
          <w:tcPr>
            <w:tcW w:w="855"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By:</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05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 MIKE HYNES</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Name:</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05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Mike Hynes</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Title:</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05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Chief Financial Officer </w:t>
            </w:r>
          </w:p>
        </w:tc>
      </w:tr>
    </w:tbl>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This certification accompanies this Quarterly Report on Form 10-Q pursuant to Section 906 of the Sarbanes-Oxley Act of 2002 and shall not be deemed filed by the Company for purposes of Section 18 of the Securities Exchange Act of 1934, as amended (the “Exchange Act”). Such certification will not be deemed to be incorporated by reference into any filing under the Securities Act of 1933, as amended, or the Exchange Act, except to the extent that the Company specifically incorporates it by reference.</w:t>
      </w:r>
    </w:p>
    <w:p>
      <w:pPr>
        <w:pStyle w:val="TextBody"/>
        <w:bidi w:val="0"/>
        <w:spacing w:before="0" w:after="283"/>
        <w:jc w:val="left"/>
        <w:rPr/>
      </w:pPr>
      <w:r>
        <w:rPr/>
      </w:r>
    </w:p>
    <w:p>
      <w:pPr>
        <w:pStyle w:val="TextBody"/>
        <w:bidi w:val="0"/>
        <w:spacing w:before="0" w:after="283"/>
        <w:jc w:val="left"/>
        <w:rPr/>
      </w:pPr>
      <w:r>
        <w:rPr/>
      </w:r>
      <w:r>
        <mc:AlternateContent>
          <mc:Choice Requires="wps">
            <w:drawing>
              <wp:anchor behindDoc="0" distT="0" distB="0" distL="0" distR="0" simplePos="0" locked="0" layoutInCell="1" allowOverlap="1" relativeHeight="38">
                <wp:simplePos x="0" y="0"/>
                <wp:positionH relativeFrom="character">
                  <wp:align>left</wp:align>
                </wp:positionH>
                <wp:positionV relativeFrom="line">
                  <wp:posOffset>635</wp:posOffset>
                </wp:positionV>
                <wp:extent cx="6480175" cy="175260"/>
                <wp:effectExtent l="0" t="0" r="0" b="0"/>
                <wp:wrapNone/>
                <wp:docPr id="37" name="Frame37"/>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serif"/>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s://www.sec.gov/Archives/edgar/data/1275158/000127515825000090/ex104drewmadsentransitiona.htm" TargetMode="External"/><Relationship Id="rId3" Type="http://schemas.openxmlformats.org/officeDocument/2006/relationships/hyperlink" Target="https://www.sec.gov/Archives/edgar/data/1275158/000127515825000090/ex105josephchristinaamende.htm" TargetMode="External"/><Relationship Id="rId4" Type="http://schemas.openxmlformats.org/officeDocument/2006/relationships/fontTable" Target="fontTable.xml"/><Relationship Id="rId5"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7</Pages>
  <Words>16564</Words>
  <Characters>91595</Characters>
  <CharactersWithSpaces>107038</CharactersWithSpaces>
  <Paragraphs>2290</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