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both"/>
        <w:rPr>
          <w:color w:val="000000"/>
        </w:rPr>
      </w:pPr>
      <w:r>
        <w:rPr>
          <w:color w:val="000000"/>
        </w:rPr>
        <w:t> </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8" w:before="0" w:after="0"/>
        <w:jc w:val="both"/>
        <w:rPr>
          <w:color w:val="000000"/>
        </w:rPr>
      </w:pPr>
      <w:r>
        <w:rPr>
          <w:color w:val="000000"/>
        </w:rPr>
        <w:t>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338" w:before="0" w:after="0"/>
        <w:jc w:val="both"/>
        <w:rPr>
          <w:color w:val="000000"/>
        </w:rPr>
      </w:pPr>
      <w:r>
        <w:rPr>
          <w:color w:val="000000"/>
        </w:rPr>
        <w:t> </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40" w:before="0" w:after="0"/>
        <w:jc w:val="both"/>
        <w:rPr>
          <w:color w:val="000000"/>
        </w:rPr>
      </w:pPr>
      <w:r>
        <w:rPr>
          <w:color w:val="000000"/>
        </w:rPr>
        <w:t> </w:t>
      </w:r>
    </w:p>
    <w:p>
      <w:pPr>
        <w:pStyle w:val="TextBody"/>
        <w:bidi w:val="0"/>
        <w:spacing w:lineRule="auto" w:line="338" w:before="0" w:after="0"/>
        <w:jc w:val="center"/>
        <w:rPr>
          <w:rFonts w:ascii="Times New Roman;serif" w:hAnsi="Times New Roman;serif"/>
          <w:b/>
          <w:color w:val="000000"/>
          <w:sz w:val="20"/>
        </w:rPr>
      </w:pPr>
      <w:r>
        <w:rPr>
          <w:rFonts w:ascii="Times New Roman;serif" w:hAnsi="Times New Roman;serif"/>
          <w:b/>
          <w:color w:val="000000"/>
          <w:sz w:val="20"/>
        </w:rPr>
        <w:t>CURRENT REPORT PURSUANT</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TO SECTION 13 OR 15 (d) OF THE</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20"/>
          <w:shd w:fill="FFFFFF" w:val="clear"/>
        </w:rPr>
        <w:t>July 24, 2026</w:t>
      </w:r>
    </w:p>
    <w:p>
      <w:pPr>
        <w:pStyle w:val="TextBody"/>
        <w:bidi w:val="0"/>
        <w:spacing w:before="0" w:after="0"/>
        <w:jc w:val="both"/>
        <w:rPr/>
      </w:pPr>
      <w:r>
        <w:rPr/>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NOODLES &amp; COMPANY </w:t>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45" w:before="0" w:after="0"/>
        <w:jc w:val="both"/>
        <w:rPr>
          <w:color w:val="000000"/>
        </w:rPr>
      </w:pPr>
      <w:r>
        <w:rPr>
          <w:color w:val="000000"/>
        </w:rPr>
        <w:t> </w:t>
      </w:r>
    </w:p>
    <w:tbl>
      <w:tblPr>
        <w:tblW w:w="6446" w:type="dxa"/>
        <w:jc w:val="left"/>
        <w:tblInd w:w="0" w:type="dxa"/>
        <w:tblLayout w:type="fixed"/>
        <w:tblCellMar>
          <w:top w:w="28" w:type="dxa"/>
          <w:left w:w="28" w:type="dxa"/>
          <w:bottom w:w="28" w:type="dxa"/>
          <w:right w:w="28" w:type="dxa"/>
        </w:tblCellMar>
      </w:tblPr>
      <w:tblGrid>
        <w:gridCol w:w="461"/>
        <w:gridCol w:w="405"/>
        <w:gridCol w:w="405"/>
        <w:gridCol w:w="405"/>
        <w:gridCol w:w="405"/>
        <w:gridCol w:w="421"/>
        <w:gridCol w:w="381"/>
        <w:gridCol w:w="381"/>
        <w:gridCol w:w="381"/>
        <w:gridCol w:w="381"/>
        <w:gridCol w:w="381"/>
        <w:gridCol w:w="389"/>
        <w:gridCol w:w="257"/>
        <w:gridCol w:w="257"/>
        <w:gridCol w:w="257"/>
        <w:gridCol w:w="257"/>
        <w:gridCol w:w="257"/>
        <w:gridCol w:w="365"/>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001-35987</w:t>
            </w:r>
          </w:p>
        </w:tc>
        <w:tc>
          <w:tcPr>
            <w:tcW w:w="16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84-1303469</w:t>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98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70"/>
        <w:gridCol w:w="570"/>
        <w:gridCol w:w="573"/>
        <w:gridCol w:w="523"/>
        <w:gridCol w:w="523"/>
        <w:gridCol w:w="52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03"/>
        <w:gridCol w:w="303"/>
        <w:gridCol w:w="4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 Zang Street, Suite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Broomfield, </w:t>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both"/>
        <w:rPr>
          <w:color w:val="000000"/>
        </w:rPr>
      </w:pPr>
      <w:r>
        <w:rPr>
          <w:color w:val="000000"/>
        </w:rPr>
        <w:t> </w:t>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(720) 214-1900 </w:t>
      </w:r>
    </w:p>
    <w:p>
      <w:pPr>
        <w:pStyle w:val="TextBody"/>
        <w:bidi w:val="0"/>
        <w:spacing w:lineRule="auto" w:line="360" w:before="0" w:after="0"/>
        <w:jc w:val="left"/>
        <w:rPr>
          <w:color w:val="000000"/>
        </w:rPr>
      </w:pPr>
      <w:r>
        <w:rPr>
          <w:color w:val="000000"/>
        </w:rPr>
        <w:t> </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360"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84" w:type="dxa"/>
        <w:jc w:val="center"/>
        <w:tblInd w:w="0" w:type="dxa"/>
        <w:tblLayout w:type="fixed"/>
        <w:tblCellMar>
          <w:top w:w="28" w:type="dxa"/>
          <w:left w:w="28" w:type="dxa"/>
          <w:bottom w:w="28" w:type="dxa"/>
          <w:right w:w="28" w:type="dxa"/>
        </w:tblCellMar>
      </w:tblPr>
      <w:tblGrid>
        <w:gridCol w:w="710"/>
        <w:gridCol w:w="624"/>
        <w:gridCol w:w="631"/>
        <w:gridCol w:w="564"/>
        <w:gridCol w:w="564"/>
        <w:gridCol w:w="566"/>
        <w:gridCol w:w="1118"/>
        <w:gridCol w:w="1118"/>
        <w:gridCol w:w="158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NDLS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July 24, 2026, Noodles &amp; Company issued a press release disclosing earnings and other financial results for its fiscal quarter ended June 30, 2026, and that as previously announced, its management would review these results in a conference call at 8:30 a.m. (EST) on July 24, 2026. The full text of the press release is furnished hereto as Exhibit 99.1.</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both"/>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78"/>
        <w:gridCol w:w="333"/>
        <w:gridCol w:w="334"/>
        <w:gridCol w:w="109"/>
        <w:gridCol w:w="109"/>
        <w:gridCol w:w="109"/>
        <w:gridCol w:w="2740"/>
        <w:gridCol w:w="2740"/>
        <w:gridCol w:w="2749"/>
        <w:gridCol w:w="175"/>
        <w:gridCol w:w="175"/>
        <w:gridCol w:w="254"/>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60"/>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60"/>
              <w:jc w:val="both"/>
              <w:rPr/>
            </w:pPr>
            <w:hyperlink w:anchor="a2026q2ex991pressrelease.htm">
              <w:r>
                <w:rPr>
                  <w:rStyle w:val="InternetLink"/>
                  <w:rFonts w:ascii="Times New Roman;serif" w:hAnsi="Times New Roman;serif"/>
                  <w:b w:val="false"/>
                  <w:color w:val="000080"/>
                  <w:sz w:val="20"/>
                  <w:u w:val="single"/>
                  <w:shd w:fill="FFFFFF" w:val="clear"/>
                </w:rPr>
                <w:t xml:space="preserve">Noodles &amp; Company Press Release dated </w:t>
              </w:r>
            </w:hyperlink>
            <w:hyperlink w:anchor="a2026q2ex991pressrelease.htm">
              <w:r>
                <w:rPr>
                  <w:rStyle w:val="InternetLink"/>
                  <w:rFonts w:ascii="Times New Roman;serif" w:hAnsi="Times New Roman;serif"/>
                  <w:b w:val="false"/>
                  <w:color w:val="000080"/>
                  <w:sz w:val="20"/>
                  <w:u w:val="single"/>
                  <w:shd w:fill="FFFFFF" w:val="clear"/>
                </w:rPr>
                <w:t>July 2</w:t>
              </w:r>
            </w:hyperlink>
            <w:hyperlink w:anchor="a2026q2ex991pressrelease.htm">
              <w:r>
                <w:rPr>
                  <w:rStyle w:val="InternetLink"/>
                  <w:rFonts w:ascii="Times New Roman;serif" w:hAnsi="Times New Roman;serif"/>
                  <w:b w:val="false"/>
                  <w:color w:val="000080"/>
                  <w:sz w:val="20"/>
                  <w:u w:val="single"/>
                  <w:shd w:fill="FFFFFF" w:val="clear"/>
                </w:rPr>
                <w:t>4</w:t>
              </w:r>
            </w:hyperlink>
            <w:hyperlink w:anchor="a2026q2ex991pressrelease.htm">
              <w:r>
                <w:rPr>
                  <w:rStyle w:val="InternetLink"/>
                  <w:rFonts w:ascii="Times New Roman;serif" w:hAnsi="Times New Roman;serif"/>
                  <w:b w:val="false"/>
                  <w:color w:val="000080"/>
                  <w:sz w:val="20"/>
                  <w:u w:val="single"/>
                  <w:shd w:fill="FFFFFF" w:val="clear"/>
                </w:rPr>
                <w:t xml:space="preserve">, 2026 </w:t>
              </w:r>
            </w:hyperlink>
          </w:p>
        </w:tc>
        <w:tc>
          <w:tcPr>
            <w:tcW w:w="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345"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ind w:left="0" w:right="0" w:firstLine="720"/>
        <w:jc w:val="both"/>
        <w:rPr/>
      </w:pPr>
      <w:r>
        <w:rPr/>
      </w:r>
    </w:p>
    <w:tbl>
      <w:tblPr>
        <w:tblW w:w="2981"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Noodles &amp;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DATED: July 24,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tbl>
      <w:tblPr>
        <w:tblW w:w="3920" w:type="dxa"/>
        <w:jc w:val="center"/>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812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8120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Noodles &amp; Company Announces Second Quarter 2026 Financial Results</w:t>
      </w:r>
    </w:p>
    <w:p>
      <w:pPr>
        <w:pStyle w:val="TextBody"/>
        <w:bidi w:val="0"/>
        <w:spacing w:lineRule="auto" w:line="288" w:before="60" w:after="283"/>
        <w:jc w:val="center"/>
        <w:rPr/>
      </w:pPr>
      <w:r>
        <w:rPr>
          <w:rFonts w:ascii="Times New Roman;serif" w:hAnsi="Times New Roman;serif"/>
          <w:b w:val="false"/>
          <w:color w:val="000000"/>
          <w:sz w:val="20"/>
        </w:rPr>
        <w:t xml:space="preserve">Second Quarter 2026 Comparable Restaurant Sales Increased </w:t>
      </w:r>
      <w:r>
        <w:rPr>
          <w:rFonts w:ascii="Times New Roman;serif" w:hAnsi="Times New Roman;serif"/>
          <w:b w:val="false"/>
          <w:color w:val="000000"/>
          <w:sz w:val="20"/>
          <w:shd w:fill="FFFFFF" w:val="clear"/>
        </w:rPr>
        <w:t>10.3%</w:t>
      </w:r>
      <w:r>
        <w:rPr>
          <w:color w:val="000000"/>
        </w:rPr>
        <w:t xml:space="preserve"> </w:t>
      </w:r>
      <w:r>
        <w:rPr>
          <w:rFonts w:ascii="Times New Roman;serif" w:hAnsi="Times New Roman;serif"/>
          <w:b w:val="false"/>
          <w:color w:val="000000"/>
          <w:sz w:val="20"/>
        </w:rPr>
        <w:t>System-Wide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Broomfield, Colo</w:t>
      </w:r>
      <w:r>
        <w:rPr>
          <w:rFonts w:ascii="Times New Roman;serif" w:hAnsi="Times New Roman;serif"/>
          <w:b/>
          <w:color w:val="000000"/>
          <w:sz w:val="20"/>
          <w:shd w:fill="FFFFFF" w:val="clear"/>
        </w:rPr>
        <w:t>., July 24, 2026</w:t>
      </w:r>
      <w:r>
        <w:rPr>
          <w:color w:val="000000"/>
          <w:shd w:fill="FFFFFF" w:val="clear"/>
        </w:rPr>
        <w:t xml:space="preserve"> </w:t>
      </w:r>
      <w:r>
        <w:rPr>
          <w:rFonts w:ascii="Times New Roman;serif" w:hAnsi="Times New Roman;serif"/>
          <w:b w:val="false"/>
          <w:color w:val="000000"/>
          <w:sz w:val="20"/>
        </w:rPr>
        <w:t xml:space="preserve">(GLOBE NEWSWIRE) - Noodles &amp; Company (Nasdaq: NDLS) today announced financial results for its second quarter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highlights for the second quarter of 2026 versus the second quarter of 2025 include:</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Total revenue increased 0.5% to $127.0 million from $126.4 million.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Comparable restaurant sales increased 10.3% system-wide, comprised of an 11.4% increase at company-owned restaurants and a 5.5% increase at franchise restaurants.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Net loss was $4.0 million, or $0.67 loss per diluted share, compared to net loss of $17.6 million, or $3.04 loss per diluted share, in the second quarter of 2025.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Operating margin was (1.2)% compared to (11.7)% in the second quarter of 2025.</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Restaurant contribution margin</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was 17.2% compared to 12.8% in the second quarter of 2025.</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increased 79% to $10.8 million compared to $6.0 million in the second quarter of 2025.</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Restaurant contribution margin and adjusted EBITDA are non-GAAP measures. Reconciliations of operating income (loss) to restaurant contribution margin and net loss to adjusted EBITDA are included in the accompanying financial data. See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Joe Christina, President and Chief Executive Officer of Noodles &amp; Company, remarked, “We are extremely pleased with our second quarter results with system-wide comparable restaurant sales increasing over 10%, an equally impressive 440 basis point year over year improvement in restaurant margin to 17.2%, and a near 80% increase in Adjusted EBITDA, which has more than doubled year to date compared to the same period last year. Significantly increased comparable restaurant sales, and the commensurate improvement in margins and Adjusted EBITDA, have also strengthened our financial flexibility as we’ve been able to generate positive free cash flow and reduce our debt balance. Given our results to date and our outlook for the second half of the year, we have raised our fiscal 2026 guidance for revenue, margins and Adjusted EBITDA. When combined with our expectation to further pay down debt with free cash flow, we now expect our year end debt balance to be at or below three times 2026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Christina continued, “Our second quarter sales continued a trend of seven consecutive fiscal quarters of positive comparable restaurant sales growth as well as strong traffic growth, which have both far exceeded the fast casual Black Box index for the last twelve months. The strong sales performance has continued into the third quarter with quarter to date company-owned comparable restaurant sales up approximately 10%. These results reinforce that the momentum at Noodles &amp; Company is sustainable and our strategies are working well. The combination of better execution by our team members, improved menu offerings, more effective marketing, and the success of our portfolio optimization program are all working together to deliver impressive financial results. I'm incredibly proud of our teams and grateful for everything they've done to get us to this point. Given our plans for further menu innovation and continuing our focus on additional improvement in all areas, we are very excited for what lies ahead for Noodles &amp;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 Update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June 30, 2026, the Company had available cash and cash equivalents of $1.3 million</w:t>
      </w:r>
      <w:r>
        <w:rPr>
          <w:color w:val="000000"/>
          <w:shd w:fill="FFFFFF" w:val="clear"/>
        </w:rPr>
        <w:t xml:space="preserve"> </w:t>
      </w:r>
      <w:r>
        <w:rPr>
          <w:rFonts w:ascii="Times New Roman;serif" w:hAnsi="Times New Roman;serif"/>
          <w:b w:val="false"/>
          <w:color w:val="000000"/>
          <w:sz w:val="20"/>
          <w:shd w:fill="FFFFFF" w:val="clear"/>
        </w:rPr>
        <w:t>and outstanding debt of $105.4 million. The amount available for future borrowings under its revolving credit facility was $16.6 million</w:t>
      </w:r>
      <w:r>
        <w:rPr>
          <w:color w:val="000000"/>
        </w:rPr>
        <w:t xml:space="preserve"> </w:t>
      </w:r>
      <w:r>
        <w:rPr>
          <w:rFonts w:ascii="Times New Roman;serif" w:hAnsi="Times New Roman;serif"/>
          <w:b w:val="false"/>
          <w:color w:val="000000"/>
          <w:sz w:val="20"/>
        </w:rPr>
        <w:t>as of June 30, 2026</w:t>
      </w:r>
      <w:r>
        <w:rPr>
          <w:rFonts w:ascii="Times New Roman;serif" w:hAnsi="Times New Roman;serif"/>
          <w:b w:val="false"/>
          <w:color w:val="000000"/>
          <w:sz w:val="20"/>
          <w:shd w:fill="FFFFFF" w:val="clear"/>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40"/>
        <w:jc w:val="both"/>
        <w:rPr>
          <w:rFonts w:ascii="Times New Roman;serif" w:hAnsi="Times New Roman;serif"/>
          <w:b/>
          <w:color w:val="000000"/>
          <w:sz w:val="20"/>
          <w:u w:val="single"/>
        </w:rPr>
      </w:pPr>
      <w:r>
        <w:rPr>
          <w:rFonts w:ascii="Times New Roman;serif" w:hAnsi="Times New Roman;serif"/>
          <w:b/>
          <w:color w:val="000000"/>
          <w:sz w:val="20"/>
          <w:u w:val="single"/>
        </w:rPr>
        <w:t>Business Outlook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management’s assessment of recent trends, the Company is raising its revenue, restaurant level contribution margin and Adjusted EBITDA guidance for fiscal year 2026. The following is expected for the full year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 of $485 million to $500 million, including comparable restaurant sales growth of 8.0% to 11.0%;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Restaurant level contribution margins of 16% to 17.0%;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and administrative expenses of $51 million to $54 million, inclusive of stock-based compensation expense of $2.5 million to $3.0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Depreciation and amortization of $24 million to $25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interest expense of $10 million to $11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of $34 million to $38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new franchise restaurant opening;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Restaurant closures: 30 to 35 company-owned restaurants and five franchised restaurants;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expenditures of $9 million to $10 million.</w:t>
      </w:r>
    </w:p>
    <w:p>
      <w:pPr>
        <w:pStyle w:val="TextBody"/>
        <w:bidi w:val="0"/>
        <w:spacing w:lineRule="auto" w:line="276" w:before="300" w:after="240"/>
        <w:jc w:val="both"/>
        <w:rPr>
          <w:rFonts w:ascii="Times New Roman;serif" w:hAnsi="Times New Roman;serif"/>
          <w:b/>
          <w:color w:val="000000"/>
          <w:sz w:val="20"/>
          <w:u w:val="single"/>
        </w:rPr>
      </w:pPr>
      <w:r>
        <w:rPr>
          <w:rFonts w:ascii="Times New Roman;serif" w:hAnsi="Times New Roman;serif"/>
          <w:b/>
          <w:color w:val="000000"/>
          <w:sz w:val="20"/>
          <w:u w:val="single"/>
        </w:rPr>
        <w:t>Strategic Review</w:t>
      </w:r>
    </w:p>
    <w:p>
      <w:pPr>
        <w:pStyle w:val="TextBody"/>
        <w:bidi w:val="0"/>
        <w:spacing w:lineRule="auto" w:line="288" w:before="240" w:after="240"/>
        <w:jc w:val="both"/>
        <w:rPr/>
      </w:pPr>
      <w:r>
        <w:rPr>
          <w:rFonts w:ascii="Times New Roman;serif" w:hAnsi="Times New Roman;serif"/>
          <w:b w:val="false"/>
          <w:color w:val="000000"/>
          <w:sz w:val="20"/>
          <w:shd w:fill="FFFFFF" w:val="clear"/>
        </w:rPr>
        <w:t>On September 3, 2025, the Company announced that its Board of Directors had initiated a review of strategic alternatives in order to explore ways to maximize stockholder value. The review includes a range of potential strategic alternatives, including a refinancing of existing indebtedness that matures on July 27, 2027, refranchising or sale of all or part of the business, and/or other strategic or financial transactions.</w:t>
      </w:r>
      <w:r>
        <w:rPr>
          <w:color w:val="000000"/>
          <w:shd w:fill="FFFFFF" w:val="clear"/>
        </w:rPr>
        <w:t xml:space="preserve"> </w:t>
      </w:r>
      <w:r>
        <w:rPr>
          <w:rFonts w:ascii="Times New Roman;serif" w:hAnsi="Times New Roman;serif"/>
          <w:b w:val="false"/>
          <w:color w:val="000000"/>
          <w:sz w:val="20"/>
          <w:shd w:fill="FFFFFF" w:val="clear"/>
        </w:rPr>
        <w:t>Such review remains in process.</w:t>
      </w:r>
    </w:p>
    <w:p>
      <w:pPr>
        <w:pStyle w:val="TextBody"/>
        <w:bidi w:val="0"/>
        <w:spacing w:lineRule="auto" w:line="288" w:before="300" w:after="240"/>
        <w:jc w:val="both"/>
        <w:rPr/>
      </w:pPr>
      <w:r>
        <w:rPr>
          <w:rFonts w:ascii="Times New Roman;serif" w:hAnsi="Times New Roman;serif"/>
          <w:b/>
          <w:color w:val="000000"/>
          <w:sz w:val="20"/>
          <w:u w:val="single"/>
        </w:rPr>
        <w:t>Key Definitions</w:t>
      </w:r>
      <w:r>
        <w:rPr>
          <w:color w:val="000000"/>
        </w:rPr>
        <w:t xml:space="preserve"> </w:t>
      </w:r>
    </w:p>
    <w:p>
      <w:pPr>
        <w:pStyle w:val="TextBody"/>
        <w:bidi w:val="0"/>
        <w:spacing w:lineRule="auto" w:line="288" w:before="0" w:after="0"/>
        <w:jc w:val="both"/>
        <w:rPr/>
      </w:pPr>
      <w:r>
        <w:rPr>
          <w:rFonts w:ascii="Times New Roman;serif" w:hAnsi="Times New Roman;serif"/>
          <w:b/>
          <w:i/>
          <w:color w:val="000000"/>
          <w:sz w:val="20"/>
          <w:shd w:fill="FFFFFF" w:val="clear"/>
        </w:rPr>
        <w:t>Average Unit Volumes</w:t>
      </w:r>
      <w:r>
        <w:rPr>
          <w:color w:val="000000"/>
          <w:shd w:fill="FFFFFF" w:val="clear"/>
        </w:rPr>
        <w:t xml:space="preserve"> — </w:t>
      </w:r>
      <w:r>
        <w:rPr>
          <w:rFonts w:ascii="Times New Roman;serif" w:hAnsi="Times New Roman;serif"/>
          <w:b w:val="false"/>
          <w:color w:val="000000"/>
          <w:sz w:val="20"/>
        </w:rPr>
        <w:t xml:space="preserve">represent the average annualized sales of all company-owned restaurants for a given time period. AUVs are calculated by dividing restaurant revenue by the number of operating days within each time period and multiplying by the number of operating days we have in a typical year. </w:t>
      </w:r>
      <w:r>
        <w:rPr>
          <w:rFonts w:ascii="Times New Roman;serif" w:hAnsi="Times New Roman;serif"/>
          <w:b w:val="false"/>
          <w:color w:val="000000"/>
          <w:sz w:val="20"/>
          <w:shd w:fill="FFFFFF" w:val="clear"/>
        </w:rPr>
        <w:t>This measurement allows management to assess changes in consumer traffic and per person spending patterns at our restaurants. In addition to the factors that impact comparable restaurant sales, AUVs can be further impacted by effective real estate site selection and maturity and trends within new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shd w:fill="FFFFFF" w:val="clear"/>
        </w:rPr>
        <w:t>Comparable Restaurant Sales</w:t>
      </w:r>
      <w:r>
        <w:rPr>
          <w:color w:val="000000"/>
          <w:shd w:fill="FFFFFF" w:val="clear"/>
        </w:rPr>
        <w:t xml:space="preserve"> — </w:t>
      </w:r>
      <w:r>
        <w:rPr>
          <w:rFonts w:ascii="Times New Roman;serif" w:hAnsi="Times New Roman;serif"/>
          <w:b w:val="false"/>
          <w:color w:val="000000"/>
          <w:sz w:val="20"/>
          <w:shd w:fill="FFFFFF" w:val="clear"/>
        </w:rPr>
        <w:t>repre</w:t>
      </w:r>
      <w:r>
        <w:rPr>
          <w:rFonts w:ascii="Times New Roman;serif" w:hAnsi="Times New Roman;serif"/>
          <w:b w:val="false"/>
          <w:color w:val="000000"/>
          <w:sz w:val="20"/>
        </w:rPr>
        <w:t xml:space="preserve">sents year-over-year sales comparisons for the comparable restaurant base open for at least 18 full periods. This measure highlights performance of existing restaurants, as the impact of new restaurant openings is excluded. Changes in comparable restaurant sales are generated by changes in traffic, which we calculate as the number of entrées sold and changes in per-person spend, calculated as sales divided by traffic.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Restaurant Contribution and Restaurant Contribution Margin</w:t>
      </w:r>
      <w:r>
        <w:rPr>
          <w:color w:val="000000"/>
        </w:rPr>
        <w:t xml:space="preserve"> — </w:t>
      </w:r>
      <w:r>
        <w:rPr>
          <w:rFonts w:ascii="Times New Roman;serif" w:hAnsi="Times New Roman;serif"/>
          <w:b w:val="false"/>
          <w:color w:val="000000"/>
          <w:sz w:val="20"/>
        </w:rPr>
        <w:t>restaurant contribution represents restaurant revenue less restaurant operating costs, which are costs of sales, labor, occupancy and other restaurant operating items. Restaurant contribution margin represents restaurant contribution as a percentage of restaurant revenue. Restaurant contribution and restaurant contribution margin are presented because they are widely-used metrics within the restaurant industry to evaluate restaurant-level productivity, efficiency and performance. Management also uses restaurant contribution and restaurant contribution margin as metrics to evaluate the profitability of incremental sales at our restaurants, restaurant performance across periods, and restaurant financial performance compared with competitors. See “Non-GAAP Financial Measures”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EBITDA and Adjusted EBITDA</w:t>
      </w:r>
      <w:r>
        <w:rPr>
          <w:color w:val="000000"/>
        </w:rPr>
        <w:t xml:space="preserve"> — </w:t>
      </w:r>
      <w:r>
        <w:rPr>
          <w:rFonts w:ascii="Times New Roman;serif" w:hAnsi="Times New Roman;serif"/>
          <w:b w:val="false"/>
          <w:color w:val="000000"/>
          <w:sz w:val="20"/>
        </w:rPr>
        <w:t xml:space="preserve">EBITDA represents net income (loss) before net interest expense, provision (benefit) for income taxes and depreciation and amortization. Adjusted EBITDA represents net income (loss) before net interest expense, provision (benefit) for income taxes, depreciation </w:t>
      </w:r>
      <w:r>
        <w:rPr>
          <w:rFonts w:ascii="Times New Roman;serif" w:hAnsi="Times New Roman;serif"/>
          <w:b w:val="false"/>
          <w:color w:val="000000"/>
          <w:sz w:val="20"/>
          <w:shd w:fill="FFFFFF" w:val="clear"/>
        </w:rPr>
        <w:t xml:space="preserve">and amortization, restaurant impairments, loss on asset disposals, net lease exit costs (benefits), severance, executive transition costs and corporate transaction costs and stock-based compensation. EBITDA and Adjusted EBITDA are presented because: (i) management believes they are useful </w:t>
      </w:r>
      <w:r>
        <w:rPr>
          <w:rFonts w:ascii="Times New Roman;serif" w:hAnsi="Times New Roman;serif"/>
          <w:b w:val="false"/>
          <w:color w:val="000000"/>
          <w:sz w:val="20"/>
        </w:rPr>
        <w:t>measures for investors to assess the operating performance of our business without the effect of non-cash charges such as depreciation and amortization expenses and restaurant impairments, asset disposals and closure costs, and (ii) management uses them internally as a benchmark for certain of our cash incentive plans and to evaluate our operating performance or compare performance to that of competitors. See “Non-GAAP Financial Measures” below.</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0"/>
          <w:shd w:fill="FFFFFF" w:val="clear"/>
        </w:rPr>
        <w:t>Adjusted Net Income (Loss)</w:t>
      </w:r>
      <w:r>
        <w:rPr>
          <w:color w:val="000000"/>
          <w:shd w:fill="FFFFFF" w:val="clear"/>
        </w:rPr>
        <w:t xml:space="preserve"> — </w:t>
      </w:r>
      <w:r>
        <w:rPr>
          <w:rFonts w:ascii="Times New Roman;serif" w:hAnsi="Times New Roman;serif"/>
          <w:b w:val="false"/>
          <w:color w:val="000000"/>
          <w:sz w:val="20"/>
          <w:shd w:fill="FFFFFF" w:val="clear"/>
        </w:rPr>
        <w:t xml:space="preserve">represents net income (loss) before restaurant impairments, net lease exit costs (benefits), loss on disposal of assets, severance, executive transition costs and corporate transaction costs and loss on debt modifications and the tax effects of such adjustments. Adjusted net income (loss) is presented because management believes it helps convey supplemental information to investors regarding the Company’s performance, excluding the impact of special items that affect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comparability of results in past quarters and expected results in future quarters. See “Non-GAAP Financial Measures”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Noodles &amp; Company will host a conference call to discuss its second quarter financial results on Friday, July 24, 2026 at 8:30 AM Eastern Time. The conference call can be accessed over the phone by dialing 201-389-0920. A replay will be available after the call and can be accessed by dialing 412-317-6671; the passcode is 13761074. The replay will be available until Friday, August 7, 2026. The conference call will also be webcast live from the Company’s corporate website at investor.noodles.com, under the “Events &amp; Presentations” page. An archive of the webcast will be available at the same location on the corporate website shortly after the call has concluded.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its condensed consolidated financial statements, which are prepared and presented in accordance with accounting principles generally accepted in the United States of America (“GAAP”), the Company uses the following non-GAAP financial measures: EBITDA, adjusted EBITDA, adjusted net income (loss), adjusted earnings (loss) per share, restaurant contribution and restaurant contribution margin (collectively, the “non-GAAP financial measures”). The presentation of this financial information is not intended to be considered in isolation or as a substitute for, or to be superior to, the financial information prepared and presented in accordance with GAAP. The Company uses these non-GAAP financial measures for financial and operational decision making and as a means to evaluate period-to-period comparisons. The Company believes that they provide useful information about operating results, enhance the overall understanding of past financial performance and future prospects and allow for greater transparency with respect to key metrics used by management in its financial and operational decision making. However, the Company recognizes that non-GAAP financial measures have limitations as analytical financial measures. The Company compensates for these limitations by relying primarily on its GAAP results and using non-GAAP metrics only supplementally. There are numerous of these limitations, including that: adjusted EBITDA does not reflect the Company’s capital expenditures or future requirements for capital expenditures; adjusted EBITDA does not reflect interest expense or the cash requirements necessary to service interest or principal payments, associated with our indebtedness; adjusted EBITDA does not reflect depreciation and amortization, which are non-cash charges, although the assets being depreciated and amortized will likely have to be replaced in the future, and do not reflect cash requirements for such replacements; adjusted EBITDA does not reflect the cost of stock-based compensation; adjusted EBITDA does not reflect changes in, or cash requirements for, our working capital needs; adjusted net income (loss) does not reflect cash expenditures, or future requirements, for lease termination payments and certain other expenses associated with reduced new restaurant development; and restaurant contribution and restaurant contribution margin are not reflective of the underlying performance of our business because corporate-level expenses are excluded from these measures. When analyzing the Company’s operating performance, investors should not consider non-GAAP financial metrics in isolation or as substitutes for net income (loss) or cash flow from operations, or other statement of operations or cash flow statement data prepared in accordance with GAAP.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 quantitative reconciliation of the Company’s non-GAAP financial measures guidance to the most comparable financial measures calculated and presented in accordance with GAAP cannot be made available without unreasonable efforts. A reconciliation of these non-GAAP financial measures would require the Company to provide guidance for various reconciling items that are outside of the Company’s control and cannot be reasonably predicted due to the fact that these items could vary significantly from period to period. A reconciliation of certain non-GAAP financial measures would also require the Company to predict the timing and likelihood of outcomes that determine future impairments and the tax benefit thereof. None of these measures, nor their probable significance, can be reliably quantified. These non-GAAP financial measures have limitations as analytical financial measures, as discussed below in the section entitled “Non-GAAP Financial Measures.” In addition, the guidance with respect to non-GAAP financial measures is a forward-looking statement, which by its nature involves risks and uncertainties that could cause actual results to differ materially from the Company’s forward-looking statement, as discussed below in the section entitled “Forward-Looking Statements.”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used by the Company in this press release may be different from the measures used by other companies. For more information on the non-GAAP financial measures, please see the “Reconciliation of Non-GAAP Measurements to GAAP Results” tables in this press release. These accompanying tables have more details on the GAAP financial measures that are most directly comparable to non-GAAP financial measures and the related reconciliations between these financial measures.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Noodles &amp;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Noodles &amp; Company has known noodles since 1995. For 30 years, the brand has brought people together over craveable classics and globally inspired flavors, from indulgent Creamy Mac &amp; Cheese to bold Japanese Pan Noodles. With approximately 400 restaurants and a team of passionate noodle lovers, Noodles is built on flavor, comfort, and a people-first culture. To learn more and to find the location nearest you, visit www.noodles.com.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shd w:fill="FFFFFF" w:val="clear"/>
        </w:rPr>
        <w:t>In addition to historical information, this press release contains forward-looking statements within the meaning of the Private Securities Litigation Reform Act of 1995 that involve risks and uncertainties such as the number of restaurants we intend to open, projected capital expenditures and estimates of our effective tax rates.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current views with respect to future events and are based on currently available operating, financial and competitive information. Examples of forward-looking statements include all matters that are not historical facts, such as statements regarding expectations with respect to our business strategy and plans to deliver financial results and continued growth. Our actual results may differ materially from those anticipated in these forward-looking statements due to reasons including, but not limited to, uncertainties as to the availability, suitability, structure, terms, and timing of any strategic transaction resulting from the strategic review and whether any such transaction will be completed, the impact of any such strategic transaction on Noodles &amp; Company, and whether the strategic benefits of any such strategic transaction can be achieved; current performance trends and our expectations for future performance; our ability to repay, refinance or obtain new financing on acceptable terms, if at all, and comply with our covenants under the A&amp;R Credit Agreement, which matures on July 27, 2027; our ability to sustain or achieve overall growth, including, digital sales growth; our ability to open new restaurants, if any, and cause those newly opened restaurants to be successful; our ability to effec</w:t>
      </w:r>
      <w:r>
        <w:rPr>
          <w:rFonts w:ascii="Times New Roman;serif" w:hAnsi="Times New Roman;serif"/>
          <w:b w:val="false"/>
          <w:color w:val="000000"/>
          <w:sz w:val="20"/>
        </w:rPr>
        <w:t xml:space="preserve">tively optimize our restaurant portfolio including closures; our ability to achieve and maintain increases in comparable restaurant sales and to successfully execute our business strategy, including new restaurant initiatives and operational strategies to improve the performance of our restaurant portfolio and guest satisfaction; the success of our brand strategy and marketing efforts, including our ability to successfully introduce new menu items, including limited time offerings and the success of our promotions; our pricing strategies; economic conditions, including those resulting from inflation, increased interest rates, recessionary economic cycles, and changes in trade policies, including tariffs or other trade restrictions or the threat of such actions; price and availability of commodities and other supply chain challenges; our ability to adequately staff our restaurants; changes in labor costs; our ability to maintain compliance with requirements for continued listing on the Nasdaq Global Select Market; other conditions beyond our control such as domestic or global conflicts, wars, terrorist activity, weather, natural disasters, disease outbreaks, epidemics or pandemics impacting our customers or food supplies; and consumer reaction to industry related public health issues and health pandemics, including perceptions of food safety. For additional information on these and other factors that could affect the Company’s forward-looking statements, see the Company’s risk factors, as they may be amended from time to time, set forth in its filings with the SEC, included in our most recently filed Annual Report on Form 10-K, and, from time to time, in our subsequently filed Quarterly Reports on Form 10-Q. The Company disclaims and does not undertake any obligation to update or revise any forward-looking statement in this press release, except as may be required by applicable law or regulation. </w:t>
      </w:r>
    </w:p>
    <w:p>
      <w:pPr>
        <w:pStyle w:val="TextBody"/>
        <w:bidi w:val="0"/>
        <w:spacing w:before="100" w:after="10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1"/>
        <w:gridCol w:w="1304"/>
        <w:gridCol w:w="13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5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_____________________</w:t>
      </w:r>
    </w:p>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Shares and per share amounts have been retroactively adjusted to reflect the decreased number of shares resulting from a 1-for-8 reverse stock split that became effective on 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Selected Balance Sheet Data and Selected Operating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restaurant activity, unaudited)</w:t>
      </w:r>
    </w:p>
    <w:tbl>
      <w:tblPr>
        <w:tblW w:w="4755" w:type="dxa"/>
        <w:jc w:val="center"/>
        <w:tblInd w:w="0" w:type="dxa"/>
        <w:tblLayout w:type="fixed"/>
        <w:tblCellMar>
          <w:top w:w="28" w:type="dxa"/>
          <w:left w:w="28" w:type="dxa"/>
          <w:bottom w:w="28" w:type="dxa"/>
          <w:right w:w="28" w:type="dxa"/>
        </w:tblCellMar>
      </w:tblPr>
      <w:tblGrid>
        <w:gridCol w:w="711"/>
        <w:gridCol w:w="624"/>
        <w:gridCol w:w="630"/>
        <w:gridCol w:w="109"/>
        <w:gridCol w:w="109"/>
        <w:gridCol w:w="109"/>
        <w:gridCol w:w="196"/>
        <w:gridCol w:w="646"/>
        <w:gridCol w:w="109"/>
        <w:gridCol w:w="109"/>
        <w:gridCol w:w="109"/>
        <w:gridCol w:w="109"/>
        <w:gridCol w:w="233"/>
        <w:gridCol w:w="769"/>
        <w:gridCol w:w="18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30,</w:t>
              <w:br/>
              <w:t>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55"/>
        <w:gridCol w:w="990"/>
        <w:gridCol w:w="962"/>
        <w:gridCol w:w="109"/>
        <w:gridCol w:w="109"/>
        <w:gridCol w:w="109"/>
        <w:gridCol w:w="196"/>
        <w:gridCol w:w="556"/>
        <w:gridCol w:w="256"/>
        <w:gridCol w:w="109"/>
        <w:gridCol w:w="109"/>
        <w:gridCol w:w="109"/>
        <w:gridCol w:w="196"/>
        <w:gridCol w:w="556"/>
        <w:gridCol w:w="256"/>
        <w:gridCol w:w="109"/>
        <w:gridCol w:w="109"/>
        <w:gridCol w:w="109"/>
        <w:gridCol w:w="216"/>
        <w:gridCol w:w="616"/>
        <w:gridCol w:w="283"/>
        <w:gridCol w:w="109"/>
        <w:gridCol w:w="109"/>
        <w:gridCol w:w="109"/>
        <w:gridCol w:w="226"/>
        <w:gridCol w:w="643"/>
        <w:gridCol w:w="296"/>
        <w:gridCol w:w="109"/>
        <w:gridCol w:w="109"/>
        <w:gridCol w:w="109"/>
        <w:gridCol w:w="196"/>
        <w:gridCol w:w="556"/>
        <w:gridCol w:w="256"/>
        <w:gridCol w:w="159"/>
      </w:tblGrid>
      <w:tr>
        <w:trPr/>
        <w:tc>
          <w:tcPr>
            <w:tcW w:w="115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159" w:type="dxa"/>
            <w:tcBorders/>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1,</w:t>
              <w:b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Selected Operating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2"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Company-owned restaurants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Franchise restaurants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Company-owned average unit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Franchise average unit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Company-owned 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Franchise comparable 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System-wide 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Reconciliations of Non-GAAP Measurements to GAAP Results </w:t>
      </w:r>
    </w:p>
    <w:p>
      <w:pPr>
        <w:pStyle w:val="TextBody"/>
        <w:bidi w:val="0"/>
        <w:spacing w:before="24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pPr>
      <w:r>
        <w:rPr>
          <w:rFonts w:ascii="Times New Roman;serif" w:hAnsi="Times New Roman;serif"/>
          <w:b/>
          <w:color w:val="000000"/>
          <w:sz w:val="20"/>
        </w:rPr>
        <w:t>Reconciliation</w:t>
      </w:r>
      <w:r>
        <w:rPr>
          <w:color w:val="000000"/>
          <w:shd w:fill="FFFFFF" w:val="clear"/>
        </w:rPr>
        <w:t xml:space="preserve"> </w:t>
      </w:r>
      <w:r>
        <w:rPr>
          <w:rFonts w:ascii="Times New Roman;serif" w:hAnsi="Times New Roman;serif"/>
          <w:b/>
          <w:color w:val="000000"/>
          <w:sz w:val="20"/>
          <w:shd w:fill="FFFFFF" w:val="clear"/>
        </w:rPr>
        <w:t xml:space="preserve">of </w:t>
      </w:r>
      <w:r>
        <w:rPr>
          <w:rFonts w:ascii="Times New Roman;serif" w:hAnsi="Times New Roman;serif"/>
          <w:b/>
          <w:color w:val="000000"/>
          <w:sz w:val="20"/>
        </w:rPr>
        <w:t>Net Loss</w:t>
      </w:r>
      <w:r>
        <w:rPr>
          <w:color w:val="000000"/>
          <w:shd w:fill="FFFFFF" w:val="clear"/>
        </w:rPr>
        <w:t xml:space="preserve"> </w:t>
      </w:r>
      <w:r>
        <w:rPr>
          <w:rFonts w:ascii="Times New Roman;serif" w:hAnsi="Times New Roman;serif"/>
          <w:b/>
          <w:color w:val="000000"/>
          <w:sz w:val="20"/>
          <w:shd w:fill="FFFFFF" w:val="clear"/>
        </w:rPr>
        <w:t>to EBI</w:t>
      </w:r>
      <w:r>
        <w:rPr>
          <w:rFonts w:ascii="Times New Roman;serif" w:hAnsi="Times New Roman;serif"/>
          <w:b/>
          <w:color w:val="000000"/>
          <w:sz w:val="20"/>
        </w:rPr>
        <w:t>TDA and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1667"/>
        <w:gridCol w:w="1436"/>
        <w:gridCol w:w="1463"/>
        <w:gridCol w:w="109"/>
        <w:gridCol w:w="109"/>
        <w:gridCol w:w="109"/>
        <w:gridCol w:w="211"/>
        <w:gridCol w:w="721"/>
        <w:gridCol w:w="109"/>
        <w:gridCol w:w="109"/>
        <w:gridCol w:w="109"/>
        <w:gridCol w:w="109"/>
        <w:gridCol w:w="211"/>
        <w:gridCol w:w="781"/>
        <w:gridCol w:w="109"/>
        <w:gridCol w:w="109"/>
        <w:gridCol w:w="109"/>
        <w:gridCol w:w="109"/>
        <w:gridCol w:w="211"/>
        <w:gridCol w:w="721"/>
        <w:gridCol w:w="109"/>
        <w:gridCol w:w="109"/>
        <w:gridCol w:w="109"/>
        <w:gridCol w:w="109"/>
        <w:gridCol w:w="211"/>
        <w:gridCol w:w="781"/>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Restaurant impairments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exit (benefits)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executive transition costs and corporate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w:t>
      </w:r>
    </w:p>
    <w:p>
      <w:pPr>
        <w:pStyle w:val="TextBody"/>
        <w:bidi w:val="0"/>
        <w:spacing w:lineRule="auto" w:line="288" w:before="0" w:after="80"/>
        <w:ind w:left="0" w:right="0" w:hanging="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Restaurant impairments in all periods presented above include amounts related to restaurants previously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EBITDA and adjusted EBITDA are supplemental measures of operating performance that do not represent and should not be considered as alternatives to net income (loss) or cash flow from operations, as determined by GAAP, and our calculation thereof may not be comparable to that reported by other companies. These measures are presented because we believe that investors’ understanding of our performance is enhanced by including these non-GAAP financial measures as a reasonable basis for evaluating our ongoing results of operations.</w:t>
      </w:r>
    </w:p>
    <w:p>
      <w:pPr>
        <w:pStyle w:val="TextBody"/>
        <w:bidi w:val="0"/>
        <w:spacing w:lineRule="auto" w:line="288" w:before="160" w:after="160"/>
        <w:jc w:val="both"/>
        <w:rPr/>
      </w:pPr>
      <w:r>
        <w:rPr>
          <w:rFonts w:ascii="Times New Roman;serif" w:hAnsi="Times New Roman;serif"/>
          <w:b w:val="false"/>
          <w:color w:val="000000"/>
          <w:sz w:val="16"/>
          <w:shd w:fill="FFFFFF" w:val="clear"/>
        </w:rPr>
        <w:t>EBITDA is calculated as net income (loss) before net interest expense, provision (benefit) for income taxes and depreciation and amortization. Adj</w:t>
      </w:r>
      <w:r>
        <w:rPr>
          <w:rFonts w:ascii="Times New Roman;serif" w:hAnsi="Times New Roman;serif"/>
          <w:b w:val="false"/>
          <w:color w:val="000000"/>
          <w:sz w:val="16"/>
        </w:rPr>
        <w:t>usted EBITDA further adjusts EBITDA to reflect the eliminations shown in the table above.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EBITDA and adjusted EBITDA are presented because: (i) we believe they are useful measures for investors to assess the operating performance of our business without the effect of non-cash charges such as depreciation and amortization expenses and restaurant impairments, loss on disposal of assets, net lease exit costs (benefits), severance, executive transition costs and corporate transaction costs and stock-based compensation expense, and (ii) we use adjusted EBITDA internally as a benchmark for certain of our cash incentive plans and to evaluate our operating performance or compare our performance to that of our competitors. The use of adjusted EBITDA as a performance measure permits a comparative assessment of our operating performance relative to our performance based on our GAAP results, while isolating the effects of some items that vary from period to period without any correlation to core operating performance or that vary widely among similar companies. Companies within our industry exhibit significant variations with respect to capital structures and cost of capital (which affect interest expense and income tax rates) and differences in book depreciation of property, plant and equipment (which affect relative depreciation expense), including significant differences in the depreciable lives of similar assets among various companies. Our management believes that adjusted EBITDA facilitates company-to-company comparisons within our industry by eliminating some of these foregoing variations. Adjusted EBITDA as presented may not be comparable to other similarly-titled measures of other companies, and our presentation of adjusted EBITDA should not be construed as an inference that our future results will be unaffected by excluded or unusual items.</w:t>
      </w:r>
    </w:p>
    <w:p>
      <w:pPr>
        <w:pStyle w:val="TextBody"/>
        <w:bidi w:val="0"/>
        <w:spacing w:before="160" w:after="16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pPr>
      <w:r>
        <w:rPr>
          <w:rFonts w:ascii="Times New Roman;serif" w:hAnsi="Times New Roman;serif"/>
          <w:b/>
          <w:color w:val="000000"/>
          <w:sz w:val="20"/>
        </w:rPr>
        <w:t>Reconciliat</w:t>
      </w:r>
      <w:r>
        <w:rPr>
          <w:rFonts w:ascii="Times New Roman;serif" w:hAnsi="Times New Roman;serif"/>
          <w:b/>
          <w:color w:val="000000"/>
          <w:sz w:val="20"/>
          <w:shd w:fill="FFFFFF" w:val="clear"/>
        </w:rPr>
        <w:t xml:space="preserve">ion of </w:t>
      </w:r>
      <w:r>
        <w:rPr>
          <w:rFonts w:ascii="Times New Roman;serif" w:hAnsi="Times New Roman;serif"/>
          <w:b/>
          <w:color w:val="000000"/>
          <w:sz w:val="20"/>
        </w:rPr>
        <w:t>Net Loss</w:t>
      </w:r>
      <w:r>
        <w:rPr>
          <w:color w:val="000000"/>
          <w:shd w:fill="FFFFFF" w:val="clear"/>
        </w:rPr>
        <w:t xml:space="preserve"> </w:t>
      </w:r>
      <w:r>
        <w:rPr>
          <w:rFonts w:ascii="Times New Roman;serif" w:hAnsi="Times New Roman;serif"/>
          <w:b/>
          <w:color w:val="000000"/>
          <w:sz w:val="20"/>
          <w:shd w:fill="FFFFFF" w:val="clear"/>
        </w:rPr>
        <w:t xml:space="preserve">to </w:t>
      </w:r>
      <w:r>
        <w:rPr>
          <w:rFonts w:ascii="Times New Roman;serif" w:hAnsi="Times New Roman;serif"/>
          <w:b/>
          <w:color w:val="000000"/>
          <w:sz w:val="20"/>
        </w:rPr>
        <w:t>Adjusted Net Income (Loss)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per share data, unaudited)</w:t>
      </w:r>
    </w:p>
    <w:tbl>
      <w:tblPr>
        <w:tblW w:w="10205" w:type="dxa"/>
        <w:jc w:val="center"/>
        <w:tblInd w:w="0" w:type="dxa"/>
        <w:tblLayout w:type="fixed"/>
        <w:tblCellMar>
          <w:top w:w="28" w:type="dxa"/>
          <w:left w:w="28" w:type="dxa"/>
          <w:bottom w:w="28" w:type="dxa"/>
          <w:right w:w="28" w:type="dxa"/>
        </w:tblCellMar>
      </w:tblPr>
      <w:tblGrid>
        <w:gridCol w:w="1618"/>
        <w:gridCol w:w="1411"/>
        <w:gridCol w:w="1436"/>
        <w:gridCol w:w="109"/>
        <w:gridCol w:w="109"/>
        <w:gridCol w:w="109"/>
        <w:gridCol w:w="244"/>
        <w:gridCol w:w="732"/>
        <w:gridCol w:w="109"/>
        <w:gridCol w:w="109"/>
        <w:gridCol w:w="109"/>
        <w:gridCol w:w="109"/>
        <w:gridCol w:w="211"/>
        <w:gridCol w:w="787"/>
        <w:gridCol w:w="109"/>
        <w:gridCol w:w="109"/>
        <w:gridCol w:w="109"/>
        <w:gridCol w:w="109"/>
        <w:gridCol w:w="244"/>
        <w:gridCol w:w="732"/>
        <w:gridCol w:w="109"/>
        <w:gridCol w:w="109"/>
        <w:gridCol w:w="109"/>
        <w:gridCol w:w="109"/>
        <w:gridCol w:w="211"/>
        <w:gridCol w:w="787"/>
        <w:gridCol w:w="157"/>
      </w:tblGrid>
      <w:tr>
        <w:trPr/>
        <w:tc>
          <w:tcPr>
            <w:tcW w:w="161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Restaurant impairments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exit (benefits)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executive transition costs and corporate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impact of adjustments above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earnings (loss) per share</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common shares outstanding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5,746,584 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Adjusted net income (loss) is a supplemental measure of financial performance that is not required by or presented in accordance with GAAP. We define adjusted net income (loss) as net income (loss) before restaurant impairments, net lease exit costs (benefits), and severance, executive transition costs and corporate transaction costs, and the tax effects of such adjustments. Adjusted net income (loss) is presented because management believes it helps convey supplemental information to investors regarding our performance, excluding the impact of special items that affect the comparability of results in past quarters to expected results in future quarters. Adjusted net income (loss) as presented may not be comparable to other similarly-titled measures of other companies, and our presentation of adjusted net income (loss) should not be construed as an inference that our future results will be unaffected by excluded or unusual items. Our management uses this non-GAAP financial measure to analyze changes in our underlying business from quarter to quarter based on comparable financial results.</w:t>
      </w:r>
    </w:p>
    <w:p>
      <w:pPr>
        <w:pStyle w:val="TextBody"/>
        <w:bidi w:val="0"/>
        <w:spacing w:before="0" w:after="0"/>
        <w:jc w:val="left"/>
        <w:rPr/>
      </w:pPr>
      <w:r>
        <w:rPr/>
      </w:r>
    </w:p>
    <w:p>
      <w:pPr>
        <w:pStyle w:val="TextBody"/>
        <w:bidi w:val="0"/>
        <w:spacing w:lineRule="auto" w:line="268" w:before="0" w:after="80"/>
        <w:ind w:left="0" w:right="0" w:hanging="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Restaurant impairments in all periods presented above include amounts related to restaurants previously impaired.</w:t>
      </w:r>
    </w:p>
    <w:p>
      <w:pPr>
        <w:pStyle w:val="TextBody"/>
        <w:bidi w:val="0"/>
        <w:spacing w:lineRule="auto" w:line="288" w:before="0" w:after="80"/>
        <w:ind w:left="0" w:right="0" w:hanging="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(2)    The tax impact of the other adjustments is immaterial while the Company has a full valuation allowance and significant net operating losses. </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(3)    </w:t>
      </w:r>
      <w:r>
        <w:rPr>
          <w:rFonts w:ascii="Times New Roman;serif" w:hAnsi="Times New Roman;serif"/>
          <w:b w:val="false"/>
          <w:color w:val="000000"/>
          <w:sz w:val="16"/>
        </w:rPr>
        <w:t>Shares and per share amounts have been retroactively adjusted to reflect the decreased number of shares resulting from a 1-for-8 reverse stock split that became effective on February 18, 2026.</w:t>
      </w:r>
    </w:p>
    <w:p>
      <w:pPr>
        <w:pStyle w:val="TextBody"/>
        <w:bidi w:val="0"/>
        <w:spacing w:before="0" w:after="8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pPr>
      <w:r>
        <w:rPr>
          <w:rFonts w:ascii="Times New Roman;serif" w:hAnsi="Times New Roman;serif"/>
          <w:b/>
          <w:color w:val="000000"/>
          <w:sz w:val="20"/>
        </w:rPr>
        <w:t>Reconciliation of Op</w:t>
      </w:r>
      <w:r>
        <w:rPr>
          <w:rFonts w:ascii="Times New Roman;serif" w:hAnsi="Times New Roman;serif"/>
          <w:b/>
          <w:color w:val="000000"/>
          <w:sz w:val="20"/>
          <w:shd w:fill="FFFFFF" w:val="clear"/>
        </w:rPr>
        <w:t xml:space="preserve">erating Loss to Restaurant </w:t>
      </w:r>
      <w:r>
        <w:rPr>
          <w:rFonts w:ascii="Times New Roman;serif" w:hAnsi="Times New Roman;serif"/>
          <w:b/>
          <w:color w:val="000000"/>
          <w:sz w:val="20"/>
        </w:rPr>
        <w:t xml:space="preserve">Contribution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467"/>
        <w:gridCol w:w="1223"/>
        <w:gridCol w:w="1227"/>
        <w:gridCol w:w="109"/>
        <w:gridCol w:w="109"/>
        <w:gridCol w:w="109"/>
        <w:gridCol w:w="211"/>
        <w:gridCol w:w="721"/>
        <w:gridCol w:w="271"/>
        <w:gridCol w:w="109"/>
        <w:gridCol w:w="109"/>
        <w:gridCol w:w="109"/>
        <w:gridCol w:w="211"/>
        <w:gridCol w:w="781"/>
        <w:gridCol w:w="271"/>
        <w:gridCol w:w="109"/>
        <w:gridCol w:w="109"/>
        <w:gridCol w:w="109"/>
        <w:gridCol w:w="211"/>
        <w:gridCol w:w="721"/>
        <w:gridCol w:w="271"/>
        <w:gridCol w:w="109"/>
        <w:gridCol w:w="109"/>
        <w:gridCol w:w="109"/>
        <w:gridCol w:w="211"/>
        <w:gridCol w:w="781"/>
        <w:gridCol w:w="319"/>
      </w:tblGrid>
      <w:tr>
        <w:trPr/>
        <w:tc>
          <w:tcPr>
            <w:tcW w:w="146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impairments, closure costs and asset disposals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Restaurant contribution represents restaurant revenue less restaurant operating costs, which are the cost of sales, labor, occupancy and other operating items. Restaurant contribution margin represents restaurant contribution as a percentage of restaurant revenue. Restaurant contribution and restaurant contribution margin are non-GAAP measures that are neither required by, nor presented in accordance with GAAP, and the calculations thereof may not be comparable to similar measures reported by other companies. These measures are supplemental measures of the operating performance of our restaurants and are not reflective of the underlying performance of our business because corporate-level expenses are excluded from these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Restaurant contribution and restaurant contribution margin have limitations as analytical tools and should not be considered in isolation or as substitutes for analysis of our results as reported under GAAP. Management does not consider these measures in isolation or as an alternative to financial measures determined in accordance with GAAP. However, management believes that restaurant contribution and restaurant contribution margin are important tools for investors and other interested parties because they are widely-used metrics within the restaurant industry to evaluate restaurant-level productivity, efficiency and performance. Management also uses these measures as metrics to evaluate the profitability of incremental sales at our restaurants, restaurant performance across periods, and restaurant financial performance compared with competitors.</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4828</Words>
  <Characters>28008</Characters>
  <CharactersWithSpaces>32562</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