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44"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0"/>
        <w:jc w:val="left"/>
        <w:rPr>
          <w:color w:val="000000"/>
        </w:rPr>
      </w:pPr>
      <w:r>
        <w:rPr>
          <w:color w:val="000000"/>
        </w:rPr>
        <w:t>  </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2024 </w:t>
      </w:r>
    </w:p>
    <w:p>
      <w:pPr>
        <w:pStyle w:val="TextBody"/>
        <w:bidi w:val="0"/>
        <w:spacing w:lineRule="auto" w:line="288" w:before="66"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66"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001-35987 </w:t>
      </w:r>
    </w:p>
    <w:p>
      <w:pPr>
        <w:pStyle w:val="TextBody"/>
        <w:bidi w:val="0"/>
        <w:spacing w:lineRule="auto" w:line="288" w:before="0" w:after="0"/>
        <w:jc w:val="left"/>
        <w:rPr>
          <w:color w:val="000000"/>
        </w:rPr>
      </w:pPr>
      <w:r>
        <w:rPr>
          <w:color w:val="000000"/>
        </w:rPr>
        <w:t> </w:t>
      </w:r>
    </w:p>
    <w:p>
      <w:pPr>
        <w:pStyle w:val="TextBody"/>
        <w:bidi w:val="0"/>
        <w:spacing w:lineRule="auto" w:line="288" w:before="66" w:after="283"/>
        <w:jc w:val="center"/>
        <w:rPr>
          <w:rFonts w:ascii="Times New Roman;sans-serif" w:hAnsi="Times New Roman;sans-serif"/>
          <w:b/>
          <w:color w:val="000000"/>
          <w:sz w:val="34"/>
        </w:rPr>
      </w:pPr>
      <w:r>
        <w:rPr>
          <w:rFonts w:ascii="Times New Roman;sans-serif" w:hAnsi="Times New Roman;sans-serif"/>
          <w:b/>
          <w:color w:val="000000"/>
          <w:sz w:val="34"/>
        </w:rPr>
        <w:t xml:space="preserve">NOODLES &amp; COMPANY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(Exact name of registrant as specified in its charter)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5485" w:type="dxa"/>
        <w:jc w:val="center"/>
        <w:tblInd w:w="0" w:type="dxa"/>
        <w:tblLayout w:type="fixed"/>
        <w:tblCellMar>
          <w:top w:w="28" w:type="dxa"/>
          <w:left w:w="28" w:type="dxa"/>
          <w:bottom w:w="28" w:type="dxa"/>
          <w:right w:w="28" w:type="dxa"/>
        </w:tblCellMar>
      </w:tblPr>
      <w:tblGrid>
        <w:gridCol w:w="1178"/>
        <w:gridCol w:w="1032"/>
        <w:gridCol w:w="1044"/>
        <w:gridCol w:w="109"/>
        <w:gridCol w:w="109"/>
        <w:gridCol w:w="109"/>
        <w:gridCol w:w="556"/>
        <w:gridCol w:w="556"/>
        <w:gridCol w:w="792"/>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84-1303469</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(IRS Employer Identification No.)</w:t>
            </w:r>
          </w:p>
        </w:tc>
      </w:tr>
    </w:tbl>
    <w:tbl>
      <w:tblPr>
        <w:tblW w:w="3116" w:type="dxa"/>
        <w:jc w:val="center"/>
        <w:tblInd w:w="0" w:type="dxa"/>
        <w:tblLayout w:type="fixed"/>
        <w:tblCellMar>
          <w:top w:w="28" w:type="dxa"/>
          <w:left w:w="28" w:type="dxa"/>
          <w:bottom w:w="28" w:type="dxa"/>
          <w:right w:w="28" w:type="dxa"/>
        </w:tblCellMar>
      </w:tblPr>
      <w:tblGrid>
        <w:gridCol w:w="758"/>
        <w:gridCol w:w="667"/>
        <w:gridCol w:w="674"/>
        <w:gridCol w:w="109"/>
        <w:gridCol w:w="109"/>
        <w:gridCol w:w="109"/>
        <w:gridCol w:w="202"/>
        <w:gridCol w:w="202"/>
        <w:gridCol w:w="28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Broomfield,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80021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(Zip Code)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(720) 214-1900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686" w:type="dxa"/>
        <w:jc w:val="center"/>
        <w:tblInd w:w="0" w:type="dxa"/>
        <w:tblLayout w:type="fixed"/>
        <w:tblCellMar>
          <w:top w:w="28" w:type="dxa"/>
          <w:left w:w="28" w:type="dxa"/>
          <w:bottom w:w="28" w:type="dxa"/>
          <w:right w:w="28" w:type="dxa"/>
        </w:tblCellMar>
      </w:tblPr>
      <w:tblGrid>
        <w:gridCol w:w="1330"/>
        <w:gridCol w:w="1176"/>
        <w:gridCol w:w="1183"/>
        <w:gridCol w:w="109"/>
        <w:gridCol w:w="109"/>
        <w:gridCol w:w="109"/>
        <w:gridCol w:w="304"/>
        <w:gridCol w:w="304"/>
        <w:gridCol w:w="306"/>
        <w:gridCol w:w="109"/>
        <w:gridCol w:w="109"/>
        <w:gridCol w:w="109"/>
        <w:gridCol w:w="710"/>
        <w:gridCol w:w="710"/>
        <w:gridCol w:w="1009"/>
      </w:tblGrid>
      <w:tr>
        <w:trPr/>
        <w:tc>
          <w:tcPr>
            <w:tcW w:w="13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Trading Symbol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Name of each exchange on which registered</w:t>
            </w:r>
          </w:p>
        </w:tc>
      </w:tr>
      <w:tr>
        <w:trPr/>
        <w:tc>
          <w:tcPr>
            <w:tcW w:w="36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par value $0.01 per share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NDLS</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bidi w:val="0"/>
        <w:spacing w:lineRule="auto" w:line="288" w:before="0" w:after="0"/>
        <w:jc w:val="left"/>
        <w:rPr>
          <w:color w:val="000000"/>
        </w:rPr>
      </w:pPr>
      <w:r>
        <w:rPr>
          <w:color w:val="000000"/>
        </w:rPr>
        <w:t> </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8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80" w:after="283"/>
        <w:ind w:left="0" w:right="0" w:firstLine="360"/>
        <w:jc w:val="left"/>
        <w:rPr/>
      </w:pPr>
      <w:r>
        <w:rPr>
          <w:rFonts w:ascii="Times New Roman;sans-serif" w:hAnsi="Times New Roman;sans-serif"/>
          <w:b w:val="false"/>
          <w:color w:val="000000"/>
          <w:sz w:val="16"/>
        </w:rPr>
        <w:t>The aggregate market value of the voting and non-voting common stock held by non-affiliates a</w:t>
      </w:r>
      <w:r>
        <w:rPr>
          <w:rFonts w:ascii="Times New Roman;sans-serif" w:hAnsi="Times New Roman;sans-serif"/>
          <w:b w:val="false"/>
          <w:color w:val="000000"/>
          <w:sz w:val="16"/>
          <w:shd w:fill="FFFFFF" w:val="clear"/>
        </w:rPr>
        <w:t>s of July 2, 2024, the last business day of the registrant’s most recently completed second fiscal quarter, was $53.3 million. This amount was calculated based on the closing price</w:t>
      </w:r>
      <w:r>
        <w:rPr>
          <w:color w:val="000000"/>
        </w:rPr>
        <w:t xml:space="preserve"> </w:t>
      </w:r>
      <w:r>
        <w:rPr>
          <w:rFonts w:ascii="Times New Roman;sans-serif" w:hAnsi="Times New Roman;sans-serif"/>
          <w:b w:val="false"/>
          <w:color w:val="000000"/>
          <w:sz w:val="16"/>
        </w:rPr>
        <w:t xml:space="preserve">of the common stock on July 2,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 the Nasdaq Global Select Market. All executive officers and directors of the registrant have been deemed, solely for the purpose of the foregoing calculation, to be “affiliates” of the registrant.</w:t>
      </w:r>
    </w:p>
    <w:p>
      <w:pPr>
        <w:pStyle w:val="TextBody"/>
        <w:bidi w:val="0"/>
        <w:spacing w:lineRule="auto" w:line="288" w:before="80" w:after="240"/>
        <w:ind w:left="0" w:right="0" w:firstLine="360"/>
        <w:jc w:val="left"/>
        <w:rPr/>
      </w:pPr>
      <w:r>
        <w:rPr>
          <w:rFonts w:ascii="Times New Roman;sans-serif" w:hAnsi="Times New Roman;sans-serif"/>
          <w:b w:val="false"/>
          <w:color w:val="000000"/>
          <w:sz w:val="16"/>
        </w:rPr>
        <w:t>As of February 28, 2025, there we</w:t>
      </w:r>
      <w:r>
        <w:rPr>
          <w:rFonts w:ascii="Times New Roman;sans-serif" w:hAnsi="Times New Roman;sans-serif"/>
          <w:b w:val="false"/>
          <w:color w:val="000000"/>
          <w:sz w:val="16"/>
          <w:shd w:fill="FFFFFF" w:val="clear"/>
        </w:rPr>
        <w:t xml:space="preserve">re </w:t>
      </w:r>
      <w:r>
        <w:rPr>
          <w:rFonts w:ascii="Times New Roman;sans-serif" w:hAnsi="Times New Roman;sans-serif"/>
          <w:b w:val="false"/>
          <w:color w:val="000000"/>
          <w:sz w:val="16"/>
        </w:rPr>
        <w:t>45,738,007</w:t>
      </w:r>
      <w:r>
        <w:rPr>
          <w:color w:val="000000"/>
          <w:shd w:fill="FFFFFF" w:val="clear"/>
        </w:rPr>
        <w:t xml:space="preserve"> </w:t>
      </w:r>
      <w:r>
        <w:rPr>
          <w:rFonts w:ascii="Times New Roman;sans-serif" w:hAnsi="Times New Roman;sans-serif"/>
          <w:b w:val="false"/>
          <w:color w:val="000000"/>
          <w:sz w:val="16"/>
          <w:shd w:fill="FFFFFF" w:val="clear"/>
        </w:rPr>
        <w:t>sh</w:t>
      </w:r>
      <w:r>
        <w:rPr>
          <w:rFonts w:ascii="Times New Roman;sans-serif" w:hAnsi="Times New Roman;sans-serif"/>
          <w:b w:val="false"/>
          <w:color w:val="000000"/>
          <w:sz w:val="16"/>
        </w:rPr>
        <w:t>ares of the registrant’s Class A common stock, par value of $0.01 per share outstanding.</w:t>
      </w:r>
    </w:p>
    <w:p>
      <w:pPr>
        <w:pStyle w:val="TextBody"/>
        <w:bidi w:val="0"/>
        <w:spacing w:before="80" w:after="283"/>
        <w:jc w:val="center"/>
        <w:rPr/>
      </w:pPr>
      <w:r>
        <w:rPr/>
      </w:r>
    </w:p>
    <w:p>
      <w:pPr>
        <w:pStyle w:val="TextBody"/>
        <w:bidi w:val="0"/>
        <w:spacing w:lineRule="auto" w:line="417" w:before="8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40"/>
        <w:ind w:left="0" w:right="0" w:firstLine="360"/>
        <w:jc w:val="both"/>
        <w:rPr/>
      </w:pPr>
      <w:r>
        <w:rPr>
          <w:rFonts w:ascii="Times New Roman;sans-serif" w:hAnsi="Times New Roman;sans-serif"/>
          <w:b w:val="false"/>
          <w:color w:val="000000"/>
          <w:sz w:val="16"/>
        </w:rPr>
        <w:t>Portions of the registrant’s proxy statement relating to its 2025 Annual Meeting of Stockholders, to be held on o</w:t>
      </w:r>
      <w:r>
        <w:rPr>
          <w:rFonts w:ascii="Times New Roman;sans-serif" w:hAnsi="Times New Roman;sans-serif"/>
          <w:b w:val="false"/>
          <w:color w:val="000000"/>
          <w:sz w:val="16"/>
          <w:shd w:fill="FFFFFF" w:val="clear"/>
        </w:rPr>
        <w:t>r about May 14, 2025, are inc</w:t>
      </w:r>
      <w:r>
        <w:rPr>
          <w:rFonts w:ascii="Times New Roman;sans-serif" w:hAnsi="Times New Roman;sans-serif"/>
          <w:b w:val="false"/>
          <w:color w:val="000000"/>
          <w:sz w:val="16"/>
        </w:rPr>
        <w:t xml:space="preserve">orporated by reference into Part III of this Annual Report on Form 10-K, where so indicated. Such proxy statement will be filed with the U.S. Securities and Exchange Commission within 120 days after the end of the fiscal year to which this report relates. </w:t>
      </w:r>
    </w:p>
    <w:p>
      <w:pPr>
        <w:pStyle w:val="TextBody"/>
        <w:bidi w:val="0"/>
        <w:spacing w:before="6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71"/>
        <w:gridCol w:w="415"/>
        <w:gridCol w:w="420"/>
        <w:gridCol w:w="2803"/>
        <w:gridCol w:w="2776"/>
        <w:gridCol w:w="2808"/>
        <w:gridCol w:w="149"/>
        <w:gridCol w:w="149"/>
        <w:gridCol w:w="21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6">
              <w:r>
                <w:rPr>
                  <w:rStyle w:val="InternetLink"/>
                  <w:rFonts w:ascii="Times New Roman;sans-serif" w:hAnsi="Times New Roman;sans-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6">
              <w:r>
                <w:rPr>
                  <w:rStyle w:val="InternetLink"/>
                  <w:rFonts w:ascii="Times New Roman;sans-serif" w:hAnsi="Times New Roman;sans-serif"/>
                  <w:b w:val="false"/>
                  <w:color w:val="0000FF"/>
                  <w:sz w:val="20"/>
                  <w:u w:val="single"/>
                </w:rPr>
                <w:t>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9">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9">
              <w:r>
                <w:rPr>
                  <w:rStyle w:val="InternetLink"/>
                  <w:rFonts w:ascii="Times New Roman;sans-serif" w:hAnsi="Times New Roman;sans-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22">
              <w:r>
                <w:rPr>
                  <w:rStyle w:val="InternetLink"/>
                  <w:rFonts w:ascii="Times New Roman;sans-serif" w:hAnsi="Times New Roman;sans-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22">
              <w:r>
                <w:rPr>
                  <w:rStyle w:val="InternetLink"/>
                  <w:rFonts w:ascii="Times New Roman;sans-serif" w:hAnsi="Times New Roman;sans-serif"/>
                  <w:b w:val="false"/>
                  <w:color w:val="0000FF"/>
                  <w:sz w:val="20"/>
                  <w:u w:val="single"/>
                </w:rPr>
                <w:t>21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25">
              <w:r>
                <w:rPr>
                  <w:rStyle w:val="InternetLink"/>
                  <w:rFonts w:ascii="Times New Roman;sans-serif" w:hAnsi="Times New Roman;sans-serif"/>
                  <w:b w:val="false"/>
                  <w:color w:val="0000FF"/>
                  <w:sz w:val="20"/>
                  <w:u w:val="single"/>
                </w:rPr>
                <w:t>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25">
              <w:r>
                <w:rPr>
                  <w:rStyle w:val="InternetLink"/>
                  <w:rFonts w:ascii="Times New Roman;sans-serif" w:hAnsi="Times New Roman;sans-serif"/>
                  <w:b w:val="false"/>
                  <w:color w:val="0000FF"/>
                  <w:sz w:val="20"/>
                  <w:u w:val="single"/>
                </w:rPr>
                <w:t>21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28">
              <w:r>
                <w:rPr>
                  <w:rStyle w:val="InternetLink"/>
                  <w:rFonts w:ascii="Times New Roman;sans-serif" w:hAnsi="Times New Roman;sans-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28">
              <w:r>
                <w:rPr>
                  <w:rStyle w:val="InternetLink"/>
                  <w:rFonts w:ascii="Times New Roman;sans-serif" w:hAnsi="Times New Roman;sans-serif"/>
                  <w:b w:val="false"/>
                  <w:color w:val="0000FF"/>
                  <w:sz w:val="20"/>
                  <w:u w:val="single"/>
                </w:rPr>
                <w:t>23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31">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31">
              <w:r>
                <w:rPr>
                  <w:rStyle w:val="InternetLink"/>
                  <w:rFonts w:ascii="Times New Roman;sans-serif" w:hAnsi="Times New Roman;sans-serif"/>
                  <w:b w:val="false"/>
                  <w:color w:val="0000FF"/>
                  <w:sz w:val="20"/>
                  <w:u w:val="single"/>
                </w:rPr>
                <w:t>24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34">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34">
              <w:r>
                <w:rPr>
                  <w:rStyle w:val="InternetLink"/>
                  <w:rFonts w:ascii="Times New Roman;sans-serif" w:hAnsi="Times New Roman;sans-serif"/>
                  <w:b w:val="false"/>
                  <w:color w:val="0000FF"/>
                  <w:sz w:val="20"/>
                  <w:u w:val="single"/>
                </w:rPr>
                <w:t>24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40">
              <w:r>
                <w:rPr>
                  <w:rStyle w:val="InternetLink"/>
                  <w:rFonts w:ascii="Times New Roman;sans-serif" w:hAnsi="Times New Roman;sans-serif"/>
                  <w:b w:val="false"/>
                  <w:color w:val="0000FF"/>
                  <w:sz w:val="20"/>
                  <w:u w:val="single"/>
                </w:rPr>
                <w:t>25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w:anchor="ic43d4297645240379cadfae4c30a127c_43">
              <w:r>
                <w:rPr>
                  <w:rStyle w:val="InternetLink"/>
                  <w:rFonts w:ascii="Times New Roman;sans-serif" w:hAnsi="Times New Roman;sans-serif"/>
                  <w:b w:val="false"/>
                  <w:color w:val="0000FF"/>
                  <w:sz w:val="20"/>
                  <w:u w:val="single"/>
                </w:rPr>
                <w:t>Reserved</w:t>
              </w:r>
            </w:hyperlink>
            <w:r>
              <w:rPr>
                <w:rFonts w:ascii="Times New Roman;sans-serif" w:hAnsi="Times New Roman;sans-serif"/>
                <w:b w:val="false"/>
                <w:color w:val="000000"/>
                <w:sz w:val="20"/>
              </w:rPr>
              <w:t>]</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43">
              <w:r>
                <w:rPr>
                  <w:rStyle w:val="InternetLink"/>
                  <w:rFonts w:ascii="Times New Roman;sans-serif" w:hAnsi="Times New Roman;sans-serif"/>
                  <w:b w:val="false"/>
                  <w:color w:val="0000FF"/>
                  <w:sz w:val="20"/>
                  <w:u w:val="single"/>
                </w:rPr>
                <w:t>25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49">
              <w:r>
                <w:rPr>
                  <w:rStyle w:val="InternetLink"/>
                  <w:rFonts w:ascii="Times New Roman;sans-serif" w:hAnsi="Times New Roman;sans-serif"/>
                  <w:b w:val="false"/>
                  <w:color w:val="0000FF"/>
                  <w:sz w:val="20"/>
                  <w:u w:val="single"/>
                </w:rPr>
                <w:t>26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67">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67">
              <w:r>
                <w:rPr>
                  <w:rStyle w:val="InternetLink"/>
                  <w:rFonts w:ascii="Times New Roman;sans-serif" w:hAnsi="Times New Roman;sans-serif"/>
                  <w:b w:val="false"/>
                  <w:color w:val="0000FF"/>
                  <w:sz w:val="20"/>
                  <w:u w:val="single"/>
                </w:rPr>
                <w:t>38</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70">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70">
              <w:r>
                <w:rPr>
                  <w:rStyle w:val="InternetLink"/>
                  <w:rFonts w:ascii="Times New Roman;sans-serif" w:hAnsi="Times New Roman;sans-serif"/>
                  <w:b w:val="false"/>
                  <w:color w:val="0000FF"/>
                  <w:sz w:val="20"/>
                  <w:u w:val="single"/>
                </w:rPr>
                <w:t>39</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5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54">
              <w:r>
                <w:rPr>
                  <w:rStyle w:val="InternetLink"/>
                  <w:rFonts w:ascii="Times New Roman;sans-serif" w:hAnsi="Times New Roman;sans-serif"/>
                  <w:b w:val="false"/>
                  <w:color w:val="0000FF"/>
                  <w:sz w:val="20"/>
                  <w:u w:val="single"/>
                </w:rPr>
                <w:t>65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57">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57">
              <w:r>
                <w:rPr>
                  <w:rStyle w:val="InternetLink"/>
                  <w:rFonts w:ascii="Times New Roman;sans-serif" w:hAnsi="Times New Roman;sans-serif"/>
                  <w:b w:val="false"/>
                  <w:color w:val="0000FF"/>
                  <w:sz w:val="20"/>
                  <w:u w:val="single"/>
                </w:rPr>
                <w:t>65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60">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60">
              <w:r>
                <w:rPr>
                  <w:rStyle w:val="InternetLink"/>
                  <w:rFonts w:ascii="Times New Roman;sans-serif" w:hAnsi="Times New Roman;sans-serif"/>
                  <w:b w:val="false"/>
                  <w:color w:val="0000FF"/>
                  <w:sz w:val="20"/>
                  <w:u w:val="single"/>
                </w:rPr>
                <w:t>66</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63">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63">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69">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69">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72">
              <w:r>
                <w:rPr>
                  <w:rStyle w:val="InternetLink"/>
                  <w:rFonts w:ascii="Times New Roman;sans-serif" w:hAnsi="Times New Roman;sans-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72">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75">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78">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81">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81">
              <w:r>
                <w:rPr>
                  <w:rStyle w:val="InternetLink"/>
                  <w:rFonts w:ascii="Times New Roman;sans-serif" w:hAnsi="Times New Roman;sans-serif"/>
                  <w:b w:val="false"/>
                  <w:color w:val="0000FF"/>
                  <w:sz w:val="20"/>
                  <w:u w:val="singl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87">
              <w:r>
                <w:rPr>
                  <w:rStyle w:val="InternetLink"/>
                  <w:rFonts w:ascii="Times New Roman;sans-serif" w:hAnsi="Times New Roman;sans-serif"/>
                  <w:b w:val="false"/>
                  <w:color w:val="0000FF"/>
                  <w:sz w:val="20"/>
                  <w:u w:val="single"/>
                </w:rPr>
                <w:t>Exhibits,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87">
              <w:r>
                <w:rPr>
                  <w:rStyle w:val="InternetLink"/>
                  <w:rFonts w:ascii="Times New Roman;sans-serif" w:hAnsi="Times New Roman;sans-serif"/>
                  <w:b w:val="false"/>
                  <w:color w:val="0000FF"/>
                  <w:sz w:val="20"/>
                  <w:u w:val="single"/>
                </w:rPr>
                <w:t>67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93">
              <w:r>
                <w:rPr>
                  <w:rStyle w:val="InternetLink"/>
                  <w:rFonts w:ascii="Times New Roman;sans-serif" w:hAnsi="Times New Roman;sans-serif"/>
                  <w:b w:val="false"/>
                  <w:color w:val="0000FF"/>
                  <w:sz w:val="20"/>
                  <w:u w:val="single"/>
                </w:rPr>
                <w:t>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93">
              <w:r>
                <w:rPr>
                  <w:rStyle w:val="InternetLink"/>
                  <w:rFonts w:ascii="Times New Roman;sans-serif" w:hAnsi="Times New Roman;sans-serif"/>
                  <w:b w:val="false"/>
                  <w:color w:val="0000FF"/>
                  <w:sz w:val="20"/>
                  <w:u w:val="single"/>
                </w:rPr>
                <w:t>72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ind w:left="0" w:right="0" w:firstLine="36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This report contains forward-looking statements within the meaning of the Private Securities Litigation Reform Act of 1995 that involve risks and uncertainties, including but not limited to the risks and uncertainties discussed under Item 1A. “Risk Factors,” Item 7. “Management’s Discussion and Analysis of Financial Condition and Results of Operations” and Item 1. “Business.”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Forward-looking statements may relate to, among other things: (i) our business objectives and strategic plans, including projected or anticipated growth rates, including in guest traffic, digital orders, and new restaurants, revenues, planned improvements in operational efficiencies, gross margins, and cost management, and enhancements to our restaurant environments and guest engagement, including the anticipated impacts of innovations, improvements, and marketing efforts; (ii) our expectations about pricing strategy; (iii) our expectations about the competitiveness of the labor market and our ability to hire, train, and retain qualified personnel; (iv) anticipated capital investments and the results of such investments, including in new restaurant openings, local marketing, our digital capabilities, and information technology systems, and the anticipated related benefits; (v) our expectations about restaurant operating costs, including commodity and food prices, occupancy costs, and labor and energy costs; and our ability to offset higher costs with menu price increases and related impacts on consumer behavior; (vi) anticipated legislation and other regulation of our business, the expected impacts of government regulations on our operations and financial condition, and changes in such regulation, including in relation to our franchise operations; (vii) our ability to attract and build relationships with experienced franchise partners; (viii) our expectations about anticipated uses of, and risks associated with, future cash flows, liquidity, future capital expenditures, and other capital deployment opportunities, and taxes; (ix) our expectations regarding competition; (x) our expectations regarding demand and business recovery, consumer preferences, and consumer discretionary spending; (xi) our ability to successfully implement our food safety programs; (xii) our ability to successfully implement our health and safety initiatives; (xiii) our expectations and other statements regarding interest rates, commodity prices, and other factors;</w:t>
      </w:r>
      <w:r>
        <w:rPr>
          <w:color w:val="000000"/>
        </w:rPr>
        <w:t xml:space="preserve"> </w:t>
      </w:r>
      <w:r>
        <w:rPr>
          <w:rFonts w:ascii="Times New Roman;sans-serif" w:hAnsi="Times New Roman;sans-serif"/>
          <w:b w:val="false"/>
          <w:color w:val="000000"/>
          <w:sz w:val="20"/>
        </w:rPr>
        <w:t>(xiv) the seasonality of our business; (xv) anticipated impacts of future pandemics; (xvi) our plans to regain compliance with Nasdaq’s continued listing required requirements; and (xvii) the other risks discussed under the section titled Risk Factors below. These statements involve known and unknown risks, uncertainties and other factors that may cause our actual results, performance or achievements to be materially different from any future results, performances or achievements expressed or implied by the forward-looking statements. These statements reflect our current views with respect to future events and are based on currently available operating, financial and competitive information. Unless required by United States federal securities laws, we do not intend to update any of these forward-looking statements to reflect circumstances or events that occur after the statement is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240"/>
        <w:jc w:val="both"/>
        <w:rPr/>
      </w:pPr>
      <w:r>
        <w:rPr>
          <w:rFonts w:ascii="Times New Roman;sans-serif" w:hAnsi="Times New Roman;sans-serif"/>
          <w:b w:val="false"/>
          <w:color w:val="000000"/>
          <w:sz w:val="20"/>
        </w:rPr>
        <w:t xml:space="preserve">Noodles &amp; Company is a restaurant concept offering lunch and dinner within the fast-casual segment of the restaurant industry. Our core offerings include noodle and pasta dishes, staples of many different cuisines, with the goal of delivering fresh ingredients and flavors from around the world under one roof. Today, our globally-inspired menu includes a wide variety of high quality, cooked-to-order dishes, including </w:t>
      </w:r>
      <w:r>
        <w:rPr>
          <w:rFonts w:ascii="Times New Roman;sans-serif" w:hAnsi="Times New Roman;sans-serif"/>
          <w:b w:val="false"/>
          <w:color w:val="000000"/>
          <w:sz w:val="20"/>
          <w:shd w:fill="FFFFFF" w:val="clear"/>
        </w:rPr>
        <w:t xml:space="preserve">noodles and pasta, </w:t>
      </w:r>
      <w:r>
        <w:rPr>
          <w:rFonts w:ascii="Times New Roman;sans-serif" w:hAnsi="Times New Roman;sans-serif"/>
          <w:b w:val="false"/>
          <w:color w:val="000000"/>
          <w:sz w:val="20"/>
        </w:rPr>
        <w:t>salads, soups</w:t>
      </w:r>
      <w:r>
        <w:rPr>
          <w:color w:val="000000"/>
          <w:shd w:fill="FFFFFF" w:val="clear"/>
        </w:rPr>
        <w:t xml:space="preserve"> </w:t>
      </w:r>
      <w:r>
        <w:rPr>
          <w:rFonts w:ascii="Times New Roman;sans-serif" w:hAnsi="Times New Roman;sans-serif"/>
          <w:b w:val="false"/>
          <w:color w:val="000000"/>
          <w:sz w:val="20"/>
          <w:shd w:fill="FFFFFF" w:val="clear"/>
        </w:rPr>
        <w:t>and appetizers. As of December 31, 2024, we operated 463 restaurants in 31 states, which included 371 company locations and 92 franchise locati</w:t>
      </w:r>
      <w:r>
        <w:rPr>
          <w:rFonts w:ascii="Times New Roman;sans-serif" w:hAnsi="Times New Roman;sans-serif"/>
          <w:b w:val="false"/>
          <w:color w:val="000000"/>
          <w:sz w:val="20"/>
        </w:rPr>
        <w:t>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Noodles &amp; Company is a Delaware corporation that was organized in 2002. Noodles &amp; Company and its subsidiaries are sometimes referred to as “Noodles,” “we,” “us,” “our,” and the “Company” in this report. We refer to our Class A Common Stock, par value $0.01 per share, as our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Concept and Business Strategy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believe Noodles is a broadly appealing concept in the national fast-casual dining space. We are focused on offering customers flavorful, cooked-to-order dishes in a warm and welcoming environment at an attractive value. We offer approximately</w:t>
      </w:r>
      <w:r>
        <w:rPr>
          <w:color w:val="000000"/>
          <w:shd w:fill="FFFFFF" w:val="clear"/>
        </w:rPr>
        <w:t xml:space="preserve"> </w:t>
      </w:r>
      <w:r>
        <w:rPr>
          <w:rFonts w:ascii="Times New Roman;sans-serif" w:hAnsi="Times New Roman;sans-serif"/>
          <w:b w:val="false"/>
          <w:color w:val="000000"/>
          <w:sz w:val="20"/>
          <w:shd w:fill="FFFFFF" w:val="clear"/>
        </w:rPr>
        <w:t xml:space="preserve">20 </w:t>
      </w:r>
      <w:r>
        <w:rPr>
          <w:rFonts w:ascii="Times New Roman;sans-serif" w:hAnsi="Times New Roman;sans-serif"/>
          <w:b w:val="false"/>
          <w:color w:val="000000"/>
          <w:sz w:val="20"/>
        </w:rPr>
        <w:t>globally-inspired and highly customizable dishes that can be enjoyed inside our restaurants, taken to-go, or delivered to our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customers experience the Noodles brand through our company-owned and franchise operated locations, and digitally through our mobile app, website www.noodles.com and third-party delive</w:t>
      </w:r>
      <w:r>
        <w:rPr>
          <w:rFonts w:ascii="Times New Roman;sans-serif" w:hAnsi="Times New Roman;sans-serif"/>
          <w:b w:val="false"/>
          <w:color w:val="000000"/>
          <w:sz w:val="20"/>
          <w:shd w:fill="FFFFFF" w:val="clear"/>
        </w:rPr>
        <w:t xml:space="preserve">ry services. In 2024, approximately 56% of our sales were derived from digital ordering, where guests have the opportunity to </w:t>
      </w:r>
      <w:r>
        <w:rPr>
          <w:rFonts w:ascii="Times New Roman;sans-serif" w:hAnsi="Times New Roman;sans-serif"/>
          <w:b w:val="false"/>
          <w:color w:val="000000"/>
          <w:sz w:val="20"/>
        </w:rPr>
        <w:t xml:space="preserve">select in restaurant quick pick-up or delivery to their home or office. We believe that the breadth of ways that consumers can access our brand, the variety inherent in our menu, and how well our food travels is a business strength in relation to consumer trends towards convenience.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are one of the only national restaurant chains to offer a menu devoted to noodles across a variety of cuisines. We offer a wide variety of flavor profiles, combining classic noodle dishes with more contemporary options. We hand-chop fresh vegetables and prepare nine noodle varieties in-house every day. All of our dishes are cooked-to-order. Choice and customization have always been a great strength of the brand</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This focus on culinary innovation allows </w:t>
      </w:r>
      <w:r>
        <w:rPr>
          <w:rFonts w:ascii="Times New Roman;sans-serif" w:hAnsi="Times New Roman;sans-serif"/>
          <w:b w:val="false"/>
          <w:color w:val="000000"/>
          <w:sz w:val="20"/>
          <w:shd w:fill="FFFFFF" w:val="clear"/>
        </w:rPr>
        <w:t>us to prepare and serve high quality food and meet changing consumer expectations. In late 2024, we began one of the most comprehensive menu upgrade in our 30-year history. This includes reimagined favorites including more sauce, more vegetables, and more premium ingredients. Additionally, the new menu includes thoughtfully curated new dishes with bold flavors that addressed gaps in our existing menu offering. We began the rollout of our updated menu in late 2024 and will be substantially complete by the end of the first half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our culture of enhanced customer service, we seek to hire, develop and retain individuals who will deliver prompt, attentive service by engaging customers the moment they enter our restaurants. Our training philosophy empowers both our restaurant managers and team members, also referred to as employees, to add a personal touch when engaging with our customers. Our restaurant managers are critical to our success, as we believe that their entrepreneurial spirit and outreach efforts build our brand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Restaurant Portfolio and Franchising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Restaurant Portfolio. </w:t>
      </w:r>
      <w:r>
        <w:rPr>
          <w:rFonts w:ascii="Times New Roman;sans-serif" w:hAnsi="Times New Roman;sans-serif"/>
          <w:b w:val="false"/>
          <w:color w:val="000000"/>
          <w:sz w:val="20"/>
        </w:rPr>
        <w:t>As of December 31, 2024, we had 371 company-owned restaurants and 92 franchise restaurants in 31 states. Our restaurants are typ</w:t>
      </w:r>
      <w:r>
        <w:rPr>
          <w:rFonts w:ascii="Times New Roman;sans-serif" w:hAnsi="Times New Roman;sans-serif"/>
          <w:b w:val="false"/>
          <w:color w:val="000000"/>
          <w:sz w:val="20"/>
          <w:shd w:fill="FFFFFF" w:val="clear"/>
        </w:rPr>
        <w:t>ically between 2,000 and 2,600 square feet and</w:t>
      </w:r>
      <w:r>
        <w:rPr>
          <w:color w:val="000000"/>
        </w:rPr>
        <w:t xml:space="preserve"> </w:t>
      </w:r>
      <w:r>
        <w:rPr>
          <w:rFonts w:ascii="Times New Roman;sans-serif" w:hAnsi="Times New Roman;sans-serif"/>
          <w:b w:val="false"/>
          <w:color w:val="000000"/>
          <w:sz w:val="20"/>
        </w:rPr>
        <w:t>are located in end-cap, in-line or free-standing locations across a variety of suburban, collegiate and urban m</w:t>
      </w:r>
      <w:r>
        <w:rPr>
          <w:rFonts w:ascii="Times New Roman;sans-serif" w:hAnsi="Times New Roman;sans-serif"/>
          <w:b w:val="false"/>
          <w:color w:val="000000"/>
          <w:sz w:val="20"/>
          <w:shd w:fill="FFFFFF" w:val="clear"/>
        </w:rPr>
        <w:t>arkets. We continue to analyze our restaurant prototype design to better facilitate future expansion and better meet the needs of the changing consumer experience.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Restaurant De</w:t>
      </w:r>
      <w:r>
        <w:rPr>
          <w:rFonts w:ascii="Times New Roman;sans-serif" w:hAnsi="Times New Roman;sans-serif"/>
          <w:b w:val="false"/>
          <w:i/>
          <w:color w:val="000000"/>
          <w:sz w:val="20"/>
          <w:shd w:fill="FFFFFF" w:val="clear"/>
        </w:rPr>
        <w:t>velopment.</w:t>
      </w:r>
      <w:r>
        <w:rPr>
          <w:color w:val="000000"/>
          <w:shd w:fill="FFFFFF" w:val="clear"/>
        </w:rPr>
        <w:t xml:space="preserve"> </w:t>
      </w:r>
      <w:r>
        <w:rPr>
          <w:rFonts w:ascii="Times New Roman;sans-serif" w:hAnsi="Times New Roman;sans-serif"/>
          <w:b w:val="false"/>
          <w:color w:val="000000"/>
          <w:sz w:val="20"/>
          <w:shd w:fill="FFFFFF" w:val="clear"/>
        </w:rPr>
        <w:t>In 2024, we opened ten new company-owned restaurants. In 2025, we plan to open two new company-owned restaurants.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Certain Restaurant Closures.</w:t>
      </w:r>
      <w:r>
        <w:rPr>
          <w:color w:val="000000"/>
          <w:shd w:fill="FFFFFF" w:val="clear"/>
        </w:rPr>
        <w:t xml:space="preserve"> </w:t>
      </w:r>
      <w:r>
        <w:rPr>
          <w:rFonts w:ascii="Times New Roman;sans-serif" w:hAnsi="Times New Roman;sans-serif"/>
          <w:b w:val="false"/>
          <w:color w:val="000000"/>
          <w:sz w:val="20"/>
          <w:shd w:fill="FFFFFF" w:val="clear"/>
        </w:rPr>
        <w:t xml:space="preserve">We closed thirteen company-owned restaurants in 2024, most of which were either generating low or negative cash flows, at or approaching the expiration of their leases, or in trade areas that are not as well positioned for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trends. We will continue to analyze our restaurant portfolio and expect to close or relocate certain restaurants, that are at, or near, the expiration of their leases, generating low or negative cash flows or in trade areas that are not as well positioned for current consumer trends.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Franchising.</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2024, we had 92 franchise units in 20 states operated by 14 franchisees. In 2024, our franchisees opened three restaurants and closed seven restaurants. In 2024, we sold six company-owned restaurants to a franchisee (the “DND Sale”). As part of the DND Sale, we entered into a six-year development plan commitment that includes development of ten new locations throughout Oregon and Washington. </w:t>
      </w:r>
      <w:r>
        <w:rPr>
          <w:rFonts w:ascii="Times New Roman;sans-serif" w:hAnsi="Times New Roman;sans-serif"/>
          <w:b w:val="false"/>
          <w:color w:val="000000"/>
          <w:sz w:val="20"/>
        </w:rPr>
        <w:t>We have 10 area developers who have signed development agreements providing for the opening of 119 restaurants in their respective territories.</w:t>
      </w:r>
      <w:r>
        <w:rPr>
          <w:color w:val="000000"/>
          <w:shd w:fill="FFFFFF" w:val="clear"/>
        </w:rPr>
        <w:t xml:space="preserve"> </w:t>
      </w:r>
      <w:r>
        <w:rPr>
          <w:rFonts w:ascii="Times New Roman;sans-serif" w:hAnsi="Times New Roman;sans-serif"/>
          <w:b w:val="false"/>
          <w:color w:val="000000"/>
          <w:sz w:val="20"/>
          <w:shd w:fill="FFFFFF" w:val="clear"/>
        </w:rPr>
        <w:t xml:space="preserve">We </w:t>
      </w:r>
      <w:r>
        <w:rPr>
          <w:rFonts w:ascii="Times New Roman;sans-serif" w:hAnsi="Times New Roman;sans-serif"/>
          <w:b w:val="false"/>
          <w:color w:val="000000"/>
          <w:sz w:val="20"/>
        </w:rPr>
        <w:t>expect franchising to be a part of our growth strategy in future years which could include refranchising existing markets. We look for experienced, well-capitalized franchise partners who are able to leverage their existing infrastructure and local knowledge in a manner that benefits both our franchisees and us. We expect to continue to offer development rights in markets where we do not intend to build company-owned restaurants. We may offer such rights to larger developers who commit to open 10 or more units, or to smaller developers who may commit to open fewer restaurants. We do not currently intend to offer single-unit franchises. We believe the strength and attractiveness of our brand will attract experienced and well-capitalized area developers.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Site Development and Expansion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site selection and development process critical to our long-term success. We have used a combination of our own internal team and outside real estate consultants to locate, evaluate and negotiate new sites using various criteria. In making site selection decisions, we use several analytical tools designed to uncover the key site, demographic, business, retail, competitive and traffic characteristics that drive successful locations. We utilize third-party resources to assist with evaluating potential new sites. Once a location has been approved by our executive-level selection committee, we begin a design process to match the characteristics and feel of the location to the trade area. Due to increased construction and development costs and lower than expected returns on investment on recent new restaurant openings, we have reduced our new restaurant development pipeline for 2025 and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Restaurant Management and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Friendly Team Members. </w:t>
      </w:r>
      <w:r>
        <w:rPr>
          <w:rFonts w:ascii="Times New Roman;sans-serif" w:hAnsi="Times New Roman;sans-serif"/>
          <w:b w:val="false"/>
          <w:color w:val="000000"/>
          <w:sz w:val="20"/>
        </w:rPr>
        <w:t>We believe our genuine, friendly team members separate us from our competitors. We value the individuality of our team members, which we believe results in a management, operations and training philosophy distinct from that of our competitors. We strive to hire team members who share our values, a passion for food, have a competitive spirit and will operate our restaurants in a way that is consistent with our high standards. We seek to hire individuals who will deliver prompt, attentive service by engaging customers at all points during the Noodles brand experience. We empower our team members to enrich the experience of our customers and directly address any concerns that may arise in a manner that contributes to the success of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Restaurant Management and Employees.</w:t>
      </w:r>
      <w:r>
        <w:rPr>
          <w:color w:val="000000"/>
        </w:rPr>
        <w:t xml:space="preserve"> </w:t>
      </w:r>
      <w:r>
        <w:rPr>
          <w:rFonts w:ascii="Times New Roman;sans-serif" w:hAnsi="Times New Roman;sans-serif"/>
          <w:b w:val="false"/>
          <w:color w:val="000000"/>
          <w:sz w:val="20"/>
        </w:rPr>
        <w:t>Each restaurant typically has a general manager, an assistant general manager, multiple shift managers and team members. We cross-train our employees in an effort to create a depth of competency in our critical restaurant functions. To lead our restaurant management teams, we have area managers (each of whom is responsible for approximately five to 10 restaurants), as well as regional directors (each of whom is responsible for approximately 50 to 60 restaurants).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Training and Career Development.</w:t>
      </w:r>
      <w:r>
        <w:rPr>
          <w:color w:val="000000"/>
        </w:rPr>
        <w:t xml:space="preserve"> </w:t>
      </w:r>
      <w:r>
        <w:rPr>
          <w:rFonts w:ascii="Times New Roman;sans-serif" w:hAnsi="Times New Roman;sans-serif"/>
          <w:b w:val="false"/>
          <w:color w:val="000000"/>
          <w:sz w:val="20"/>
        </w:rPr>
        <w:t>We believe that our training efforts create a culture of continuous learning and professional growth that allows our team members to continue their career development with us. Within each restaurant, two to four team members are designated to lead the training efforts and maintain a consistent approach to team member development. We produce training materials that encourage individual contributions and participation from our team members while also requiring adherence to certain guidelines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Food Preparation and Quality.</w:t>
      </w:r>
      <w:r>
        <w:rPr>
          <w:color w:val="000000"/>
        </w:rPr>
        <w:t xml:space="preserve"> </w:t>
      </w:r>
      <w:r>
        <w:rPr>
          <w:rFonts w:ascii="Times New Roman;sans-serif" w:hAnsi="Times New Roman;sans-serif"/>
          <w:b w:val="false"/>
          <w:color w:val="000000"/>
          <w:sz w:val="20"/>
        </w:rPr>
        <w:t>Our teams use classic professional cooking methods, including sautéing many of our vegetables, in full kitchens resembling those of full-service restaurants. All team members, including our restaurant managers, spend their first several days working solely with food and learning these techniques, and we spend a significant amount of time training team members to prepare and cook our food properly.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restaurants have exhibition-style kitchens. This design demonstrates our commitment to cooking fresh food in an accessible manner. We provide each customer with individual attention and make every effort to respond to customer suggestions and concerns in a personal and hospitable 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all of our dishes to be cooked to order at food safe temperatures or, in the case of salads, subject to our produce washing protocols, as food safety is a top priority for us. We have designed our food safety and quality assurance programs to maintain high standards for our food and food preparation procedures. Our director of quality assurance oversees robust restaurant and supplier audits based upon the potential food safety risk of each food. We also consider food safety and quality assurance when selecting our distributors and suppliers. Our suppliers are inspected by federal, state and local regulators or other reputable, qualified inspection services, which promotes compliance with all federal food safety and quality guidelines. We regularly inspect our suppliers to confirm that the ingredients we buy conform to our quality standards and that the prices we pay are competitive. We train our employees to pay detailed attention to food quality at every stage of the food preparation cycle, and we have developed a daily checklist that our employees are required to use to assess the freshness and quality of food supplies. Finally, we encourage our customers to provide feedback regarding our food quality so that we can identify and resolve problems or concerns as quickly as possible.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Restaurant Marketing</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strategic marketing efforts seek to drive sales and increase brand loyalty by highlighting our competitive strengths through a variety of channels including digital marketing, social media, public relations, guest engagement and local marketing. We focus on attributes that set us apart including the breadth and customization of our menu and our best-in-class convenience offerings, and ultimately use a data-driven approach to guide our strategy. </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i/>
          <w:color w:val="000000"/>
          <w:sz w:val="20"/>
        </w:rPr>
        <w:t>Our Contemporary Menu Offerings.</w:t>
      </w:r>
      <w:r>
        <w:rPr>
          <w:color w:val="000000"/>
        </w:rPr>
        <w:t xml:space="preserve"> </w:t>
      </w:r>
      <w:r>
        <w:rPr>
          <w:rFonts w:ascii="Times New Roman;sans-serif" w:hAnsi="Times New Roman;sans-serif"/>
          <w:b w:val="false"/>
          <w:color w:val="000000"/>
          <w:sz w:val="20"/>
        </w:rPr>
        <w:t>At the heart of our marketing is our food and the desire to craft harmonious dishes that reflect the modern, borderless flavors and celebrate fresh, cooked to order, real food. We focus some of our marketing efforts on new menu offerings to broaden our appeal to our customers and we continue to invest in high quality ingredients and portions that improve the taste and appearance of our dishes. At the same time, we showcase the dishes that continue to be loved by m</w:t>
      </w:r>
      <w:r>
        <w:rPr>
          <w:rFonts w:ascii="Times New Roman;sans-serif" w:hAnsi="Times New Roman;sans-serif"/>
          <w:b w:val="false"/>
          <w:color w:val="000000"/>
          <w:sz w:val="20"/>
          <w:shd w:fill="FFFFFF" w:val="clear"/>
        </w:rPr>
        <w:t>any. For instance, in 2024, our focus on new menu offering efforts centered around the launch of three new dishes: Crispy Chicken Bacon Alfredo, Chipotle Chicken Cavatappi and Lemon Garlic Shrimp Scampi. In 2025, we are set to introduce five new contemporary dishes and culinary changes to four other dishes.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i/>
          <w:color w:val="000000"/>
          <w:sz w:val="20"/>
        </w:rPr>
        <w:t>Brand Platf</w:t>
      </w:r>
      <w:r>
        <w:rPr>
          <w:rFonts w:ascii="Times New Roman;sans-serif" w:hAnsi="Times New Roman;sans-serif"/>
          <w:b w:val="false"/>
          <w:i/>
          <w:color w:val="000000"/>
          <w:sz w:val="20"/>
          <w:shd w:fill="FFFFFF" w:val="clear"/>
        </w:rPr>
        <w:t>orm</w:t>
      </w:r>
      <w:r>
        <w:rPr>
          <w:rFonts w:ascii="Times New Roman;sans-serif" w:hAnsi="Times New Roman;sans-serif"/>
          <w:b w:val="false"/>
          <w:color w:val="000000"/>
          <w:sz w:val="20"/>
          <w:shd w:fill="FFFFFF" w:val="clear"/>
        </w:rPr>
        <w:t xml:space="preserve">. From time to time, we launch new brand platforms to enhance our brand awareness, introduce Noodles to new guests and remind existing guests what sets Noodles apart. </w:t>
      </w:r>
    </w:p>
    <w:p>
      <w:pPr>
        <w:pStyle w:val="TextBody"/>
        <w:bidi w:val="0"/>
        <w:spacing w:lineRule="auto" w:line="288" w:before="0" w:after="240"/>
        <w:ind w:left="0" w:right="0" w:hanging="720"/>
        <w:jc w:val="both"/>
        <w:rPr/>
      </w:pPr>
      <w:r>
        <w:rPr>
          <w:color w:val="000000"/>
          <w:shd w:fill="FFFFFF" w:val="clear"/>
        </w:rPr>
        <w:t>•</w:t>
      </w:r>
      <w:r>
        <w:rPr>
          <w:rFonts w:ascii="Times New Roman;sans-serif" w:hAnsi="Times New Roman;sans-serif"/>
          <w:b w:val="false"/>
          <w:i/>
          <w:color w:val="000000"/>
          <w:sz w:val="20"/>
          <w:shd w:fill="FFFFFF" w:val="clear"/>
        </w:rPr>
        <w:t xml:space="preserve">Loyalty Program. </w:t>
      </w:r>
      <w:r>
        <w:rPr>
          <w:rFonts w:ascii="Times New Roman;sans-serif" w:hAnsi="Times New Roman;sans-serif"/>
          <w:b w:val="false"/>
          <w:color w:val="000000"/>
          <w:sz w:val="20"/>
          <w:shd w:fill="FFFFFF" w:val="clear"/>
        </w:rPr>
        <w:t xml:space="preserve">Our </w:t>
      </w:r>
      <w:r>
        <w:rPr>
          <w:rFonts w:ascii="Times New Roman;sans-serif" w:hAnsi="Times New Roman;sans-serif"/>
          <w:b w:val="false"/>
          <w:i/>
          <w:color w:val="000000"/>
          <w:sz w:val="20"/>
          <w:shd w:fill="FFFFFF" w:val="clear"/>
        </w:rPr>
        <w:t>Noodles Rewards</w:t>
      </w:r>
      <w:r>
        <w:rPr>
          <w:color w:val="000000"/>
          <w:shd w:fill="FFFFFF" w:val="clear"/>
        </w:rPr>
        <w:t xml:space="preserve"> </w:t>
      </w:r>
      <w:r>
        <w:rPr>
          <w:rFonts w:ascii="Times New Roman;sans-serif" w:hAnsi="Times New Roman;sans-serif"/>
          <w:b w:val="false"/>
          <w:color w:val="000000"/>
          <w:sz w:val="20"/>
          <w:shd w:fill="FFFFFF" w:val="clear"/>
        </w:rPr>
        <w:t>program grew approximately 8% during 2024 to approximately 5.6 million members. The Rewards program provides us with gu</w:t>
      </w:r>
      <w:r>
        <w:rPr>
          <w:rFonts w:ascii="Times New Roman;sans-serif" w:hAnsi="Times New Roman;sans-serif"/>
          <w:b w:val="false"/>
          <w:color w:val="000000"/>
          <w:sz w:val="20"/>
        </w:rPr>
        <w:t>est data that can be used to target and personalize offers and communications. The program allows guests to accumulate reward points associated with each purchase that can be redeemed for offers such as free bowls, free side dishes, discounts, and free delivery. Rewards members are typically the first to learn about new offerings, and in some cases are provided exclusive access to certain menu items for a limited time.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Digital Business.</w:t>
      </w:r>
      <w:r>
        <w:rPr>
          <w:color w:val="000000"/>
        </w:rPr>
        <w:t xml:space="preserve"> </w:t>
      </w:r>
      <w:r>
        <w:rPr>
          <w:rFonts w:ascii="Times New Roman;sans-serif" w:hAnsi="Times New Roman;sans-serif"/>
          <w:b w:val="false"/>
          <w:color w:val="000000"/>
          <w:sz w:val="20"/>
        </w:rPr>
        <w:t>We continue to make strategic investments in our digital capabilities to improve the overall guest experience and increase our digital sales. Our digital platforms, inclusive of our website and our app, offer guests a differentiated and seamless ordering experience and make it convenient for guests to purchase their favorites. We use our digital platforms to increase brand engagement and usage of the Rewards program.</w:t>
      </w:r>
      <w:r>
        <w:rPr>
          <w:color w:val="000000"/>
        </w:rPr>
        <w:t xml:space="preserve"> </w:t>
      </w:r>
      <w:r>
        <w:rPr>
          <w:rFonts w:ascii="Times New Roman;sans-serif" w:hAnsi="Times New Roman;sans-serif"/>
          <w:b w:val="false"/>
          <w:color w:val="000000"/>
          <w:sz w:val="20"/>
        </w:rPr>
        <w:t>Additionally, we have expanded our third-party partnerships to increase our brand’s reach among guests who primarily place orders through these delivery providers. We invest in digital advertising to advertise specific product categories, highlight convenient off-premise channel offerings, communicate rewards and encourage guest action and long-term guest loya</w:t>
      </w:r>
      <w:r>
        <w:rPr>
          <w:rFonts w:ascii="Times New Roman;sans-serif" w:hAnsi="Times New Roman;sans-serif"/>
          <w:b w:val="false"/>
          <w:color w:val="000000"/>
          <w:sz w:val="24"/>
          <w:shd w:fill="FFFFFF" w:val="clear"/>
        </w:rPr>
        <w:t xml:space="preserve">lty. </w:t>
      </w:r>
      <w:r>
        <w:rPr>
          <w:rFonts w:ascii="Times New Roman;sans-serif" w:hAnsi="Times New Roman;sans-serif"/>
          <w:b w:val="false"/>
          <w:color w:val="000000"/>
          <w:sz w:val="20"/>
        </w:rPr>
        <w:t>We leverage zero-party, first-party and third-p</w:t>
      </w:r>
      <w:r>
        <w:rPr>
          <w:rFonts w:ascii="Times New Roman;sans-serif" w:hAnsi="Times New Roman;sans-serif"/>
          <w:b w:val="false"/>
          <w:color w:val="000000"/>
          <w:sz w:val="20"/>
          <w:shd w:fill="FFFFFF" w:val="clear"/>
        </w:rPr>
        <w:t>arty data to drive effective and efficient advertising spend, helping us to improve the return on our investment. We have installed digital menu boards across all company-owned locations that allow us to showcase key menu features, target guest communication, enhance our pricing capabilities and increase flexibility for culinary testing.</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strength of our workforce is one of the significant contributors to our success as a brand. This is largely attributed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to our team members who strive every d</w:t>
      </w:r>
      <w:r>
        <w:rPr>
          <w:rFonts w:ascii="Times New Roman;sans-serif" w:hAnsi="Times New Roman;sans-serif"/>
          <w:b w:val="false"/>
          <w:color w:val="000000"/>
          <w:sz w:val="20"/>
          <w:shd w:fill="FFFFFF" w:val="clear"/>
        </w:rPr>
        <w:t>ay to create an environment for our guests where they feel welcomed and cared for. Therefore, one of our strategic priorities is to develop people as a differentiator, including investing in the following areas of focus: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Oversight and Management. </w:t>
      </w:r>
      <w:r>
        <w:rPr>
          <w:rFonts w:ascii="Times New Roman;sans-serif" w:hAnsi="Times New Roman;sans-serif"/>
          <w:b w:val="false"/>
          <w:color w:val="000000"/>
          <w:sz w:val="20"/>
          <w:shd w:fill="FFFFFF" w:val="clear"/>
        </w:rPr>
        <w:t>We value the diversity of our team members, which reflects the diversity of our guests and communities, and believe in creating an inclusive and equitable environment that supports equal employment opportunities and represents a broad spectrum of backgrounds and cultures. Our Human Resources department is tasked with managing employment-related matters, including recruiting and hiring, onboarding and training, compensation and benefit planning, organizational design, performance management, succession planning and talent development. Our management and cross-functional teams also work closely to evaluate human capital management matters such as team member retention, workplace safety, harassment and bullying, as well as to implement measures to mitigate these risks.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Board of Directors and Board committees provide oversight on certain human capital matters. </w:t>
      </w:r>
      <w:r>
        <w:rPr>
          <w:rFonts w:ascii="Times New Roman;sans-serif" w:hAnsi="Times New Roman;sans-serif"/>
          <w:b w:val="false"/>
          <w:color w:val="000000"/>
          <w:sz w:val="20"/>
        </w:rPr>
        <w:t xml:space="preserve">Our Compensation Committee, with input from members of our management team and a third-party compensation consultant, who provides benchmarked data, has responsibility for approving annually certain elements of compensation, including our incentive compensation plans and equity-based plans. Management provides input into the design of our incentive compensation programs to confirm that these programs support the Company’s business objectives and strategic priorities. The annual business plan initially established by our management, and approved by our Board, is an important element of our Compensation Committee’s decision-making process for performance measures and goals.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Noodles &amp; Company, we prioritize investing in our workforce by offering industry competitive base wages and salaries, performance-based cash and equity incentives, and competitive benefits that enhance the well-being, career growth, and financial security of our team members. Our quarterly and annual performance-based bonus plans are designed to align compensation with company success by rewarding team members for achieving key financial and operational performance metrics. Additionally, eligible team members receive long-term incentives—such as restricted stock units (RSUs) and performance stock units (PSUs)—that align their interests with long-term shareholder value creation.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Beyond compensation, Noodles &amp; Company provides a competitive and targeted benefits package designed to support the financial, physical, and mental well-being of our team members. Our offerings include medical, dental, and vision insurance, along with mental health support and wellness programs to promote overall well-being. To enhance financial security, we offer a 401(k) program with a company match, an Employee Stock Purchase Plan (the “ESPP” plan), early access to earned wages, a deferred compensation plan for eligible positions, and short-term and long-term disability coverage for eligible 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support team member engagement and work-life balance with paid time off, family-planning benefits, immigration support, education assistance, and meal discounts. Our Employee Assistance Program (EAP) provides valuable resources, including financial planning support and legal assistance, providing our team members access to the tools they need for personal and professional success. We are committed to fostering career growth by offering leadership development programs, skills training, and succession planning to prepare team members for higher-level roles. Our goal of being a best-in-class workplace has earned us continued recognition, including being named one of Forbes’ Best Employers for Diversity for the fourth consecutive year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demonstrate our commitment to supporting our team members, we established the Noodles &amp; Company Foundation to provide assistance in times of need and invest in their futures. Since its inception, the Foundation has granted over $580,000 in emergency assistance and more than $540,000 in scholarships to help team members and their families achieve their educational goals. Created by and for our team members, the Foundation reinforces our dedication to fostering a resilient, empowered workforce and giving back to the communities we serve. Looking ahead, we are planning to continue to elevate the team member experience by enhancing our talent development, workplace culture, and innovative total rewards programs that differentiate Noodles &amp; Company as an employer of choice in our industry.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December 31, 2024, we had </w:t>
      </w:r>
      <w:r>
        <w:rPr>
          <w:rFonts w:ascii="Times New Roman;sans-serif" w:hAnsi="Times New Roman;sans-serif"/>
          <w:b w:val="false"/>
          <w:color w:val="000000"/>
          <w:sz w:val="20"/>
          <w:shd w:fill="FFFFFF" w:val="clear"/>
        </w:rPr>
        <w:t>approximately 7,300 employees, including approximately 500 salaried employees and approximately 6,800 hourly employees. None of o</w:t>
      </w:r>
      <w:r>
        <w:rPr>
          <w:rFonts w:ascii="Times New Roman;sans-serif" w:hAnsi="Times New Roman;sans-serif"/>
          <w:b w:val="false"/>
          <w:color w:val="000000"/>
          <w:sz w:val="20"/>
        </w:rPr>
        <w:t>ur employees are unionized or covered by a collective bargaining agreement, and we consider our current employee relations to be good.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 high degree of quality in our restaurants depends in part on our ability to acquire fresh ingredients and other necessary supplies that meet our specifications from reliable suppliers. We carefully select suppliers based on quality and their 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We monitor industry news, trade issues, weather, crises and other world events that may affect supply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Seasonality/Quarterly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Seasonal factors and the timing of holidays cause our revenue to fluctuate from quarter to quarter. Our revenue per restaurant is typically lower in the first and fourth quarters, due to reduced winter and holiday traffic, and higher in the second and third quarters. Other factors also have a seasonal effect on our results. For example, restaurants located near colleges and universities generally do more business during the academic year. Seasonal factors, however, might be moderated or outweighed by other factors that may influence our quarterly results, such as worldwide health pandemics, fluctuations in food or packaging costs, or the timing of menu price increases or promotional activities and other marketing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results are also affected by other factors such as the amount and timing of incentive-based compensation expense and related tax rate impacts, impairment charges and non-operating costs, timing of marketing or promotional expenses, the number and timing of new restaurants opened in a quarter, and the closure of restaurants. New restaurants typically have higher operating costs following opening because of the expenses associated with their opening and operating inefficiencies in the months immediately following opening. Accordingly, results for a particular quarter are not necessarily indicative of results to be expected for any other quarter or for any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from the casual dining, quick-service and fast-casual segments of the restaurant industry. These segments are highly competitive with respect to taste, price, food quality and presentation, service, location and the ambiance and condition of each restaurant, among other things. Our competition includes a variety of locally owned restaurants and national and regional chains 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fast-casual restaurant concepts, some of which are expanding nationally. We will continue to face competition from these concepts and new competitors that strive to compete within our market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from firms outside the restaurant industry, such as grocery stores and home meal replacement services, who sell prepared meals for takeout and delivery service.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 and Trademarks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own a number of trademarks and service marks registered or pending with the U.S. Patent and Trademark Office. We also have certain trademarks registered in certain foreign countries. In addition, we own the internet domain name </w:t>
      </w:r>
      <w:r>
        <w:rPr>
          <w:rFonts w:ascii="Times New Roman;sans-serif" w:hAnsi="Times New Roman;sans-serif"/>
          <w:b w:val="false"/>
          <w:i/>
          <w:color w:val="000000"/>
          <w:sz w:val="20"/>
        </w:rPr>
        <w:t>www.noodles.com</w:t>
      </w:r>
      <w:r>
        <w:rPr>
          <w:rFonts w:ascii="Times New Roman;sans-serif" w:hAnsi="Times New Roman;sans-serif"/>
          <w:b w:val="false"/>
          <w:color w:val="000000"/>
          <w:sz w:val="20"/>
        </w:rPr>
        <w:t>. The information on, or that can be accessed through, our website is not part of this report. We believe that our trademarks, service marks and other intellectual property rights have significant value and are important to the marketing of our brand, and it is our policy to protect and defend vigorously our rights to such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Governmental Regulation and 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and varied federal, state and local government regulation, including regulations relating to public and occupational health and safety, sanitation and fire prevention. We operate each of our restaurants in accordance with standards and procedures designed to comply with applicable codes and regulations. However, an inability to obtain or retain health department or other licenses could adversely affect our operations. Although we have not experienced, and do not anticipate, any significant difficulties, delays or failures in obtaining required licenses, permits or approvals, any such problem could delay or prevent the opening of, or adversely impact the viability of, a particular restaurant or group of restaurants.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environmental laws and regulations concerning waste disposal, pollution, protection of the environment and the presence, discharge, storage, handling, release and disposal of, or exposure to, hazardous or toxic substances (“environmental laws”). These environmental laws can provide for significant fines and penalties for non-compliance and liabilities for remediation, sometimes without regard to whether the owner or operator of the property knew of, or was responsible for, the release or presence of the hazardous or toxic substances. Third parties may also make claims against owners or operators of properties for personal injuries and property damage associated with releases of, or actual or alleged exposure to, such substances. We are not aware of any environmental laws that will materially affect our earnings or competitive position, or result in material capital expenditures relating to our restaurants. However, we cannot predict what environmental laws will be enacted in the future, how existing or future environmental laws will be administered, interpreted or enforced, or the amount of future expenditures that we may need to make to comply with, or to satisfy claims relating to, environmental laws. It is possible that we will become subject to environmental liabilities at our properties, and any such liabilities could materially affect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 Information Systems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a variety of applications and systems to securely manage the flow of information within each restaurant, and within our central support office infrastructure. All of our restaurants use computerized management information systems, which we believe are scalable to support any future growth plans. We use point-of-sale (“POS”) computers designed specifically for the restaurant industry. Our POS system provides a touch screen interface, a graphical order confirmation display and integrated, high-speed credit card and gift card processing. Our online ordering system allows customers to place orders online or through our mobile app. Orders taken remotely are routed to the point-of-sale system based on the time of customer order pickup. The POS system is used to collect daily transaction data, which generates information about daily sales, product mix and average check that we actively analyze. All products sold and prices at our company-owned restaurants are programmed into the system from our central support office. We also continue to modernize and make investments in our information technology networks and infrastructure, specifically in our physical and technological security measures, to anticipate cyber-attacks and defend against breaches and to provide improved control, security and scalability. Enhancing the security of our financial data, customer information and other personal information is a high priority for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in-restaurant back office computer system is designed to assist in the management of our restaurants and provide labor and food cost management tools. These tools provide restaurant operations management and our central support office quick access to detailed business data and reduces restaurant managers’ administrative time. The system provides our restaurant managers the ability to submit orders electronically with our distribution network. The system also supplies sales, bank deposit and variance data to our finance department on a daily basis. We use this data to generate daily sales information and weekly consolidated reports regarding sales and other key measures.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Franchisees use similar point of sale systems and are required to report sales on a daily basis through an online reporting network and submit their restaurant-level financial statements on a quarterly and annual basis. We also offer certain restaurant technology support services to our franchisees.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Information About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a single accounting segment. Financial information related to our business is included in Item 8 of this Annual Report on Form 10-K.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0"/>
        </w:rPr>
        <w:t xml:space="preserve">We maintain a website at </w:t>
      </w:r>
      <w:r>
        <w:rPr>
          <w:rFonts w:ascii="Times New Roman;sans-serif" w:hAnsi="Times New Roman;sans-serif"/>
          <w:b w:val="false"/>
          <w:i/>
          <w:color w:val="000000"/>
          <w:sz w:val="20"/>
        </w:rPr>
        <w:t>www.noodles.com</w:t>
      </w:r>
      <w:r>
        <w:rPr>
          <w:rFonts w:ascii="Times New Roman;sans-serif" w:hAnsi="Times New Roman;sans-serif"/>
          <w:b w:val="false"/>
          <w:color w:val="000000"/>
          <w:sz w:val="20"/>
        </w:rPr>
        <w:t xml:space="preserve">, including an investor relations section at </w:t>
      </w:r>
      <w:r>
        <w:rPr>
          <w:rFonts w:ascii="Times New Roman;sans-serif" w:hAnsi="Times New Roman;sans-serif"/>
          <w:b w:val="false"/>
          <w:i/>
          <w:color w:val="000000"/>
          <w:sz w:val="20"/>
        </w:rPr>
        <w:t>investor.noodles.com</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on which we routinely post important information, such as webcasts of quarterly earnings calls, and any related materials. You may access our Annual Reports on Form 10-K, Quarterly Reports on Form 10-Q, Current Reports on Form 8-K, amendments to those reports and other reports relating to us that are filed with or furnished to the SEC, free of charge in the investor relations section of our website as soon as reasonably practicable after such material is electronically filed with or furnished to the SEC.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contents of the websites mentioned herein are not incorporated into and should not be considered a part of this report. The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16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You should carefully consider the risks described below, as well as the other information in this Annual Report on Form 10-K, including our financial statements and the related notes and “Management’s Discussion and Analysis of Financial Condition and Results of Operations,” as well as our other filings with the Securities and Exchange Commission, before deciding whether to invest in our common stock. If any of the following risks occur, our business, financial condition, results of operations and future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Industry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achieve our operational, strategic or financial goals.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pursue a number of financial, operational and strategic goals and we may be unsuccessful in achieving some or all of them. Our strategies are designed to, among other objectives, improve restaurant operations and increase our restaurant revenue, comparable restaurant sales, net income and adjusted EBITDA, as defined in management’s discussion and analysis. However, our strategies may not be successful in achieving these goals in part or at all.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Our strategies include innovating our menu offerings, enhancing our menu structure and layout, improving operational effectiveness and strengthening our financial foundation, optimizing our catering offerings, refining our pricing strategies, better understanding</w:t>
      </w:r>
      <w:r>
        <w:rPr>
          <w:color w:val="000000"/>
        </w:rPr>
        <w:t xml:space="preserve"> </w:t>
      </w:r>
      <w:r>
        <w:rPr>
          <w:rFonts w:ascii="Times New Roman;sans-serif" w:hAnsi="Times New Roman;sans-serif"/>
          <w:b w:val="false"/>
          <w:color w:val="000000"/>
          <w:sz w:val="20"/>
        </w:rPr>
        <w:t>and tailoring communications to customers through our customer data platform and digital ecosystem, introducing new technology and equipment, and continuing to focus on manager selection, training and development of our teams. However, customers may not favor new menu offerings and pricing or may not find initiatives aimed at off-premise dining appealing, and our efforts to increase our sales growth and improve our offerings may be unsuccessful. Additionally, our operational initiatives may be ineffective at reducing costs or may reduce the quality of the customer experience. Any failure of our new initiatives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had, and expect to continue to have, initiatives in various stages of testing, evaluation and implementation, upon which we expect to rely to improve our results of operations and financial condition. Failure to achieve successful implementation of our initiatives, including our menu innovation rollout,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and operational goals are designed to improve our results of operations, including restaurant revenue and profitability. The level of comparable restaurant sales, which represent the change in year-over-year sales for restaurants open for at least 18 full periods, affects our restaurant revenue growth and will continue to be a critical factor affecting profitability. Our ability to increase comparable restaurant sales depends in part on our ability to successfully implement our initiatives, including increasing guest traffic. It is possible that such initiatives will not be successful, that we will not achieve our desired comparable restaurant sales growth or that the change in comparable restaurant sales could be negative, which may cause a decrease in restaurant revenue and profitability that could materially adversely affect our business, financial condition, results of operations or cash flows. For example, in 2023 and 2024 we experienced a decline in same store sales, as well as an increased loss from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economic conditions, including higher inflationary pressures and continued elevated interest rates, may reduce customer demand and increase our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the restaurant industry in general, depends on consumer discretionary spending. Changes in market conditions, including negative economic conditions resulting from inflation, increased interest rates, recessionary economic cycles, changes in trade policies, including tariffs or other trade restrictions or the threat of such actions, stock market volatility, war, terrorist activities, global economic occurrences or trends or other geo-political events, may result in decreased consumer confidence, increased cost of consumer credit and ultimately reduced consumer disposable income. In turn, consumers may make changes to their discretionary spending behavior in a way that negatively affects our business, including dining out less frequently, reducing the amount they spend while dining out, or choosing to eat at other lower priced restaurants. Additionally, these changes in market conditions may impact our development pipeline, including the availability of new sites, increased construction costs and availability of contract labor.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economic conditions, particularly with respect to inflationary pressures, may result in increased interest rates persisting for longer than expected and/or further increases in interest rates, labor shortages, and supply chain disruptions. These inflationary pressures may also increase our costs including our labor and raw material costs, utilities, and our cost of borrowing, and we may not be able to fully offset such higher costs through price increases. For example, in 2023 and 2024, we executed amendments to our credit agreement, which resulted in increased borrowing rates. In 2022, the cost of several of our food ingredients increased as a result of inflation in many commodities, particularly the cost of our chicken. As a result, we implemented a temporary chicken-price surcharge of $1.00 for several months while chicken was at its peak of the commodity cycle and made certain other menu price increases throughout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customer demand were to decrease or our costs were to increase without a corresponding increase in our prices, our profitability would decline. Moreover, as a result of such economic conditions, we may record additional asset impairment charges, implement additional restaurant closures, or slow our planned growth. Any of these economic factors may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Competition from other restaurant companies could adversely affect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the casual dining, fast-casual and quick-service segments of the restaurant industry. These segments are highly competitive with respect to taste, price, food quality and presentation, service, location and the ambiance and condition of each restaurant, among other things. Our competition includes a variety of locally owned restaurants and national and regional chains 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fast-casual restaurant concepts, some of which are expanding nationally. We continually face competition from these concepts and new competitors that strive to compete with our market segments. For example, additional competitive pressures come from the deli sections and in-store cafés of grocery store chains, as well as from convenience stores and online meal preparation sites. These competitors may have, among other things, lower operating costs, food offerings more responsive to consumer preferences, better locations and facilities, more experienced management, more effective marketing and more efficient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Several of our competitors compete by offering menu items that are specifically identified as low in carbohydrates, gluten-free, or rich in protein. In addition, many of our competitors emphasize lower-cost value options or meal packages, or strategies we do not currently pursue. Any of these competitive factors may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marketing programs may not be successful.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 costs and expend other resources in our marketing efforts to attract and retain customers. These initiatives may not be successful, resulting in expenses incurred without the benefit of higher revenues. Additionally, many of our competitors have more marketing resources and we may not be able to successfully compete. If our competitors increase spending on marketing, or if our marketing funds decrease for any reason, or if our advertising and promotions are less effective than those of our competitors, our financial performance could be materially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are devoting increased resources to their social media marketing programs. Social media can be challenging because it reaches a broad audience with an ability to respond or react, in near real time. In addition, social media can facilitate the improper disclosure of proprietary information, personally identifiable information, or inaccurate information. As a result, if we do not appropriately manage our social media strategies, our marketing efforts in this area may not be successful and could damage our reputation, negatively impacting our restaurant sales and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Negative publicity relating to one or more of our restaurants, including our franchised restaurants, could reduce sales at some or all of our other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is dependent in part upon our ability to maintain and enhance the value of our brand, consumers’ connection to our brand and positive relationships with our franchisees. We may be faced with negative publicity relating to food quality, restaurant facilities, customer complaints or litigation alleging illness or injury, health inspection scores, integrity of our or our suppliers’ food processing, employee relationships or other matters, regardless of whether the allegations are valid or whether we are held to be responsible. The negative impact of adverse publicity relating to one restaurant may extend far beyond the restaurant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franchise involved to affect some or all of our other restaurants. The risk of negative publicity is particularly great with respect to our franchised restaurants because we are limited in the manner in which we can regulate them, especially on a real-time basis. Negative publicity generated by such incidents may be amplified by the use of social media. A similar risk exists with respect to unrelated food service businesses, if consumers associate those businesses with our own operations or are concerned with the food safety of the broader restaurant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employee claims against us based on, among other things, wage and hour violations, discrimination, harassment or wrongful termination may also create negative publicity that could materially adversely affect us and divert our financial and management resources that would otherwise be used to benefit the future performance of our operations. A significant increase in the number of these claims or an increase in the number or scope of successful claims could materially adversely affect our business, financial condition, results of operations or cash flows. Consumer demand for our products and our brand’s value could diminish significantly if any such incidents or other matters create negative publicity or otherwise erode consumer confidence in us or our products, or in the restaurant industry as a whole, which would likely result in lower sales and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Food safety and foodborne illness concerns could have an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our internal controls and training will be fully effective in preventing all food safety issues at our restaurants, including any occurrences of foodborne illnesses such as E. coli, Hepatitis A, listeria, norovirus and salmonella. The risk of illnesses associated with our food might also increase in connection with the expansion of our catering and delivery businesses or other situations in which our food is served or delivered in conditions that we cannot control. Furthermore, we and our franchisees rely on third-party vendors throughout our supply chain, making it difficult to monitor food safety compliance and increasing the risk that foodborne illness would affect multiple locations rather than a single restaurant. Some foodborne illness incidents could be caused by third-party vendors and transporters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restaurants or markets or related to food products we sell could negatively affect our restaurant sales nationwide if highly publicized on national media outlets or through social media. This risk exists even if it were later determined that the illness was wrongly attributed to us or one of our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other restaurant chains have experienced incidents related to foodborne illnesses that have had a material adverse effect on their operations, including E. coli, listeria and norovirus outbreaks at other fast-casual concepts. These incidents at other restaurants could cause some customers to have a negative perception of fast-casual concepts generally, which can negatively affect our restaurants. The occurrence of a similar incident at one or more of our restaurants, or negative publicity or public speculation about an incident, could materially adversely affect our business, financial condition, results of operations or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raise menu prices or revise our pricing structure, which may not be sufficient to offset rising costs or which could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decrease customer demand.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and expect to continue to, utilize menu price increases to help offset cost increases, including increased cost for food ingredients and supplies, wages, employee benefits, insurance costs, construction, utilities and other key operating costs. If our selection and amount of menu price increases are not accepted by consumers and reduce guest traffic, or are insufficient to counter increased costs, our financial results could be negatively affected. For example in 2023, primarily in response to inflationary food, labor and operating costs, we made certain menu price increases, which we believe negatively affected our traffic.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Unexpected events have impacted and may in the future impact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occurrence of one or more unexpected events, including war, acts of terrorism, pandemics, civil unrest, natural disasters and other forms of severe weather in the United States or in other locations in which our suppliers are located, have affected and could in the future affect our operations and financial performance. It is possible that weather conditions may impact our business more than other businesses in our industry because of the significant concentration of our restaurants in the Upper Midwest, Rocky Mountain and Mid-Atlantic states. Such events could affect our guest traffic, sales and operating costs and/or cause complete or partial closure of one or more distribution centers, cause temporary or long-term disruption or inoperability of our information technology systems (including our digital platform), temporary or long-term disruptions in our delivery channel or the supply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products from suppliers, and disruption and delay in the transport of products, any of which may have a material adverse effect on our business, financial condition, and results of operations. Existing insurance coverage may not provide protection from all the costs that may arise from such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long-term non-cancellable leases and the costs of exiting leases at restaurants we have closed or may close in the future may be greater than we estimate or could be greater than the funds we raise to address closure costs.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any real property. Payments under our operating leases account for a significant portion of our operating expenses and we expect the new restaurants we open in the future will similarly be leased. Our leases generally have an initial term of ten years and generally can be extended only in five-year increments (at increased rates). All of our leases require a fixed annual rent, although some require the payment of additional rent if restaurant sales exceed a negotiated amount. Generally, our leases are “net” leases, which require us to pay all of the cost of insurance, taxes, maintenance and utilities. We generally cannot cancel these leases. Additional sites that we lease are likely to be subject to similar long-term non-cancelable leases. In connection with closing restaurants, we may nonetheless be committed to perform our obligations under the applicable lease including, among other things, paying the base rent for the balance of the lease term. In 2024, we performed a detailed portfolio review that identified approximately 20 restaurants that we evaluated for potential closure before the end of their lease terms. In addition, as each of our leases expires, we may fail to negotiate renewals, either on commercially acceptable terms or at all, which could cause us to pay increased occupancy costs or to close restaurants in desirable locations.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Opening and operating new restaurants entails numerous risks and uncertainties.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One element of our operational strategy is the opening of new restaurants and operating those restaurants on a profitable basis with an acceptable return on investment. In 2024, we opened ten company-owned restaurants and closed thirteen company-owned restaurants. In 2024, our franchisees opened three restaurants and closed seven </w:t>
      </w:r>
      <w:r>
        <w:rPr>
          <w:rFonts w:ascii="Times New Roman;sans-serif" w:hAnsi="Times New Roman;sans-serif"/>
          <w:b w:val="false"/>
          <w:color w:val="000000"/>
          <w:sz w:val="20"/>
        </w:rPr>
        <w:t xml:space="preserve">restaurants.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Opening new restaurants presents numerous risks and uncertainties. We may </w:t>
      </w:r>
      <w:r>
        <w:rPr>
          <w:rFonts w:ascii="Times New Roman;sans-serif" w:hAnsi="Times New Roman;sans-serif"/>
          <w:b w:val="false"/>
          <w:color w:val="000000"/>
          <w:sz w:val="20"/>
          <w:shd w:fill="FFFFFF" w:val="clear"/>
        </w:rPr>
        <w:t xml:space="preserve">not successfully identify an appropriate location or be able to open new restaurants as quickly as planned. In the past, we have experienced delays in opening some restaurants due to adverse weather and permitting delays. Delays or failures in opening new restaurants could occur in the future and could materially adversely affect our business strategy and </w:t>
      </w:r>
      <w:r>
        <w:rPr>
          <w:rFonts w:ascii="Times New Roman;sans-serif" w:hAnsi="Times New Roman;sans-serif"/>
          <w:b w:val="false"/>
          <w:color w:val="000000"/>
          <w:sz w:val="20"/>
        </w:rPr>
        <w:t>our expected results.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ability to successfully open new restaurants also depends on other factors, including: site selection; local economic trends and demographics; proximity of potential development sites to an existing location; anticipated development near our new restaurants; negotiating leases with acceptable terms; identifying, hiring and training qualified employees; the state of the labor market in each local market; timely delivery of leased premises to use; managing construction and development costs; avoiding the impact of inclement weather, natural disasters and other calamities; obtaining construction materials and labor at acceptable costs; securing required go</w:t>
      </w:r>
      <w:r>
        <w:rPr>
          <w:rFonts w:ascii="Times New Roman;sans-serif" w:hAnsi="Times New Roman;sans-serif"/>
          <w:b w:val="false"/>
          <w:color w:val="000000"/>
          <w:sz w:val="20"/>
          <w:shd w:fill="FFFFFF" w:val="clear"/>
        </w:rPr>
        <w:t xml:space="preserve">vernmental approvals, permits and licenses; generating sufficient returns on our new restaurant investments; and accessing capital. Our new restaurant growth will decrease in 2025 due to lower than expected rates of return on investment for our recently opened restaurants as well as increased construction and development costs. As a result, we have reduced our new restaurant development pipeline for 2025. We continue to enhance our operating model and are researching a new prototype that would address costs, as well as changing consumer behaviors.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long-term success is partially dependent on our ability to effectively identify appropriate target markets and secure appropriate sites for new restaurants.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build new restaurants, we must first identify target markets where we can expand our footprint, taking into account numerous factors, including the location of our current restaurants, local economic trends, population density, area demographics and geography. The selection of target markets for expansion is challenging. We also must locate and secure appropriate sites for new restaurants, which is one of our biggest challenges. There are numerous factors involved in identifying and securing an appropriate site, including, among others: identification and availability of locations; competition; financial conditions affecting developers and potential landlords; developers and potential landlords obtaining licenses or permits for development projects on a timely basis; proximity of potential development sites to an existing location; anticipated development near our new restaurants; and availability of acceptable lease arrangements. If we are unable to fully implement our development plan, our business, financial condition, results of operations or cash flows could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New restaurants, once opened, may not be profitable.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restaurants may not be profitable, their sales performance may not follow historical patterns, or our average restaurant sales and comparable restaurant sales may underperform our expectations. In addition, the construction costs supporting the new restaurant openings may be higher than historical averages, placing a higher profitability threshold to generate an attractive cash-on-cash return. Our ability to operate new restaurants profitably, maintain an attractive cash-on-cash return, and increase average restaurant sales and comparable restaurant sales will depend on many factors, some of which are beyond our control, including: consumer awareness, understanding and support of our brand; general economic conditions, construction cost inflation, local labor costs and availability and prices we pay for the food products and other supplies we use; changes in consumer preferences; competition; temporary and permanent site characteristics of new restaurants; and changes in government regulation.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If our new restaurants do not perform as planned, our business and future prospects could be harmed. In addition, if we are unable to achieve our expected average restaurant sales, our business, financial condition, results of operations or cash flows could be materially adversely affected. The return on investment on our recent n</w:t>
      </w:r>
      <w:r>
        <w:rPr>
          <w:rFonts w:ascii="Times New Roman;sans-serif" w:hAnsi="Times New Roman;sans-serif"/>
          <w:b w:val="false"/>
          <w:color w:val="000000"/>
          <w:sz w:val="20"/>
          <w:shd w:fill="FFFFFF" w:val="clear"/>
        </w:rPr>
        <w:t>ew restaurant openings have not been as expected. As a result, we have reduced our new restaurant development pipeline for 2025.</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Opening new restaurants in existing markets may negatively affect sales at our existing restaurants.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consumer target area of our restaurants varies by location, depending on a number of factors, including population density, other local retail and business attractions, area demographics and geography. As a result, opening a new restaurant in or near markets in which we already have restaurants could materially adversely affect the sales of these existing restaurants. Existing restaurants could also make it more difficult to build our consumer base for a new restaurant in the same market. Our core business strategy does not entail opening new restaurants that we believe will materially affect sales at our existing restaurants, but we may selectively open new restaurants in and around areas of existing restaurants that are operating at or near capacity to effectively serve our customers. Sales cannibalization between our restaurants may become significant in the future as we continue to expand our operations and could affect our sales growth, which could, in turn,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Employees, Executives and Franchisees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difficulties in hiring and retaining top-performing employees.</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Our success depends on the efforts of our employees and our ability to hire, motivate and retain qua</w:t>
      </w:r>
      <w:r>
        <w:rPr>
          <w:rFonts w:ascii="Times New Roman;sans-serif" w:hAnsi="Times New Roman;sans-serif"/>
          <w:b w:val="false"/>
          <w:color w:val="000000"/>
          <w:sz w:val="20"/>
          <w:shd w:fill="FFFFFF" w:val="clear"/>
        </w:rPr>
        <w:t>lified employees. We have taken strategic steps to improve the retention of our labor force, which has improved sequentially since peak levels in mid-2022 and turnover levels are now at lower levels and wage inflation is moderating. There m</w:t>
      </w:r>
      <w:r>
        <w:rPr>
          <w:rFonts w:ascii="Times New Roman;sans-serif" w:hAnsi="Times New Roman;sans-serif"/>
          <w:b w:val="false"/>
          <w:color w:val="000000"/>
          <w:sz w:val="20"/>
        </w:rPr>
        <w:t>ay be a small supply of qualified individuals in some of the communities in which we operate, and competition in these communities for qualified individuals could require us to pay higher wages and provide greater benefits. We devote significant resources to training our employees and strive to reduce turnover in order to keep top performing employees and better realize our investment in training new employees. However, turnover among our restaurant employees may increase. Failure to hire and retain top-performing employees could impact our financial performance by increasing our training and labor costs and reducing the quality of our customers’ experiences.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failure to recruit, develop and retain effective leaders or the loss or shortage of personnel with key capacities and skills could impact our strategic growth plans and jeopardize our ability to meet our business performance expectations and growth targets.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to grow our business depends substantially on the contributions and abilities of our executive leadership team and other key management personnel. Changes in senior management could expose us to significant changes in strategic direction and initiatives. In 2023, we hired a new Chief Financial Officer and appointed an interim Chief Executive Officer, ultimately naming him our permanent Chief Executive Officer in 2024. We also appointed our new Chief Concept Officer and an Executive Vice President of Marketing in 2024 and recently announced the appointment of our new President and Chief Operating Officer in February 2025. A failure to maintain appropriate organizational capacity and capability to support our strategic initiatives or to build adequate bench strength with key skill sets required for seamless succession of leadership, could jeopardize our ability to meet our business performance expectations and growth targets. If we are unable to attract, develop, retain and incentivize sufficiently experienced and capable management personnel, our business and financial results may suffer.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or our franchisees face labor shortages or increased labor costs, our operating results could be adversely affected.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Labor is a primary component in the cost of operating our restaurants and our success depends in part upon our and our franchisees’ ability to control labor costs and attract, motivate and retain a sufficient number of well-qualified restaurant operators and management personnel, as well as a sufficient number of other qualified employees. Qualified individuals needed to fill these positions has been and may continue to be in short supply in some geographic areas. In addition, restaurants have traditionally experienced relatively high employee turnover rates relative to other industries. If we encounter labor shortages, we have and may continue to be forced to temporarily close restaurants or reduce store hours, which could result in reduced revenue. In addition, failure to recruit and retain qualified individuals has and may continue to delay the planned openings of new restaurants. If labor costs increase, whether because of increased competition for employees, higher employee turnover rates, increases in the federal, state or local minimum wage or other employee benefits costs (including costs associated with workers’ compensation and health insurance coverage), our operating expenses could increa</w:t>
      </w:r>
      <w:r>
        <w:rPr>
          <w:rFonts w:ascii="Times New Roman;sans-serif" w:hAnsi="Times New Roman;sans-serif"/>
          <w:b w:val="false"/>
          <w:color w:val="000000"/>
          <w:sz w:val="20"/>
          <w:shd w:fill="FFFFFF" w:val="clear"/>
        </w:rPr>
        <w:t xml:space="preserve">se.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taken strategic steps to attempt to make our restaurant operations more labor-efficient, including reconfigured restaurant operations, increased off-premise offerings, and new technology and equipment, but in certain instances these may require initial investment costs and there can be no assurances that these strategies will succeed.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executing our franchise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in part on our franchisees and the manner in which they operate their locations to develop and promote our business. Although we have developed criteria to evaluate and screen prospective franchisees, we cannot be certain that our franchisees will have the business acumen or financial resources necessary to operate successful franchises in their franchise areas and state franchise laws may limit our ability to terminate or modify these franchise arrangements. Moreover, despite our training, support and monitoring, franchisees may not successfully operate restaurants in a manner consistent with our standards and requirements or may not hire and train qualified managers and other restaurant personnel. The failure of our franchisees to operate their franchises successfully could have a material adverse effect on us, our reputation, our brand and our ability to attract prospective franchisees and could materially adversely affect our business, financial condition, results of operations or cash flows. Failure to provide our franchisees with adequate support and resources could also materially adversely affect these franchisees, as well as cause disputes between us and them and potentially lead to material liabilities.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Franchisees may not have access to the financial or management resources that they need to open the restaurants contemplated by their agreements with us or be able to find suitable sites on which to develop them, or they may elect to cease development for other reasons, including as a consequence of elevated interest rates and construction cost inflation. Franchisees may not be able to negotiate an acceptable lease or purchase terms for the sites, obtain the necessary permits and government approvals or meet construction schedules</w:t>
      </w:r>
      <w:r>
        <w:rPr>
          <w:rFonts w:ascii="Times New Roman;sans-serif" w:hAnsi="Times New Roman;sans-serif"/>
          <w:b w:val="false"/>
          <w:color w:val="000000"/>
          <w:sz w:val="20"/>
          <w:shd w:fill="FFFFFF" w:val="clear"/>
        </w:rPr>
        <w:t>. Any of these problems could reduce our franchise reven</w:t>
      </w:r>
      <w:r>
        <w:rPr>
          <w:rFonts w:ascii="Times New Roman;sans-serif" w:hAnsi="Times New Roman;sans-serif"/>
          <w:b w:val="false"/>
          <w:color w:val="000000"/>
          <w:sz w:val="20"/>
        </w:rPr>
        <w:t>ues. When we sell restaurants to franchisees, we frequently remain liable on the related restaurant facility leases. If franchise owners default on leases that the Company remains liable on, it could result in material liabilities and negatively impact our results from operations and cash flows.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Supply Chain and Technology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heavily on information technology, and any material failure, weakness, interruption or breach of security could prevent us from effectively operating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information systems, including point-of-sale processing in our restaurants, for management of our supply chain, payment of obligations, collection of cash, credit and debit card transactions and other processes and procedures. We also rely on third-party vendors to provide information technology systems and to securely process and store related information, especially as it relates to credit and debit card transactions and online ordering. Our franchisees also rely on information systems and third-party vendors. Our ability to efficiently and effectively manage our business depends significantly on the reliability and capacity of these systems. Our operations depend upon our and our franchisees’, and our vendors’, ability to protect computer equipment and systems against damage from physical theft, fire, power loss, telecommunications failure or other catastrophic events, as well as from internal and external security breaches, viruses and other disruptive problems. Avoiding such incidents in the future will require us and our franchisees and vendors to continue to enhance information systems, procedures and controls and to hire, train and retain employees. The failure of these systems to operate effectively, maintenance problems, upgrading or transitioning to new platforms, or a breach in security of these systems could result in delays in customer service and reduce efficiency in our operations. Remediation of such problems could result in significant, unplanned capital investments and harm our business, financial condition, results of operations or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harmed by breaches of security of information technology systems or our confidential consumer, employee, financial, or other proprietary data.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are part of an industry that is vulnerable to</w:t>
      </w:r>
      <w:r>
        <w:rPr>
          <w:color w:val="000000"/>
        </w:rPr>
        <w:t xml:space="preserve"> </w:t>
      </w:r>
      <w:r>
        <w:rPr>
          <w:rFonts w:ascii="Times New Roman;sans-serif" w:hAnsi="Times New Roman;sans-serif"/>
          <w:b w:val="false"/>
          <w:color w:val="000000"/>
          <w:sz w:val="20"/>
        </w:rPr>
        <w:t>cyber attacks and other cybersecurity incidents. In response, we have implemented cybersecurity processes, technologies, and controls to aid in our efforts to assess, identify, and manage cybersecurity risks. Our enterprise risk management framework considers cybersecurity risk alongside other company risks as part of our overall risk assessment process. Our enterprise risk management team includes information technology and digital security functions to gather insights for assessing, identifying and managing cybersecurity threat risks, their severity, and potential mitigations. The rapid evolution and increased adoption of artificial intelligence technologies may intensify our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Noodles &amp; Company’s cybersecurity program using several frameworks including the cybersecurity framework from the National Institute of Standards and Technology (NIST-CSF). This program includes policies, processes and procedures that help assess and identify our cybersecurity risks and inform how security measures and controls are developed, implemented and maintained. The risk assessment along with risk-based analysis and judgment are used to prioritize our cybersecurity initiatives. During this process, the following factors, among others, are considered: likelihood and severity of risk, impact on the Company and others if a risk materializes, feasibility and cost of controls and impact of controls on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internal resources to perform penetration testing designed to simulate evolving tactics and techniques of real-world threat actors, engage with industry partners and law enforcement and intelligence communities and conduct tabletop exercises and periodic risk interviews across our business. We also engage several independent third parties to perform internal and external penetration testing of our technology environment periodically and engage other third-parties to periodically conduct assessments of our cybersecurity processes and capabilities. In addition, we continue to expand training and awareness practices to mitigate risk from human error, including mandatory computer-based training and internal communications for employees. Our employees undergo cybersecurity awareness training and regular phishing awareness campaigns that are based upon and designed to emulate real-world contemporary threats. We provide prompt feedback (and, if necessary, additional training or remedial action) based on the results of such exercises.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many information technology systems throughout our operations, including systems that record and process customer sales, manage human resources and generate accounting and financial reports. For example, our restaurants use computerized management information systems, including point-of-sale computers that process customer credit card, debit card and gift card payments, and in-restaurant back office computer systems designed to assist in the management of our restaurants and provide labor and food cost management tools. Our franchisees use similar point of sale systems and are required to report business and operational data through an online reporting network. Through these systems, we have access to and store a variety of consumer, employee, financial and other types of information related to our business. We also rely on third-party vendors to provide information technology systems and to securely process and store related information. Our franchisees also use information technology systems and rely on third-party vendors. If our technology systems, or those of third-party vendors we or our franchisees rely upon, are compromised as a result of a cyber-attack (including from circumvention of security systems, denial-of-service attacks, hacking, “phishing” attacks, computer viruses, ransomware, malware, or social engineering) or other external or internal methods, it could materially adversely affect our reputation,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cyber risks we face range from cyber-attacks common to most industries to attacks that target us due to the confidential consumer information we obtain through our electronic processing of credit and debit card transactions. Like others in our industry, we have experienced many attempts to compromise our information technology and data, including a successful attempt in 2016 that we have discussed in previous filings, and we may experience more attempts in the future. In addition to property and casualty insurance, which may cover restoration of data, certain physical damage or third-party injuries, we have cybersecurity insurance related to a breach event. However, damage and claims arising from such incidents may not be covered or may exceed the amount of any available insurance.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cyber-attacks take many forms, change frequently, are becoming increasingly sophisticated, and may be difficult to detect for significant periods of time, we may not be able to respond adequately or timely to future cyber-attacks. If we or our franchisees, or third-party vendors, were to experience a material breach resulting in the unauthorized access, use, or destruction of our information technology systems or confidential consumer, employee, financial, or other proprietary data, it could negatively impact our reputation, reduce our ability to attract and retain customers and employees and disrupt the implementation and execution of our strategic goals. Moreover, such breaches could result in a violation of various privacy-related laws, including the various state specific privacy laws and subject us to investigations or private litigation, which, in turn, could expose us to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criminal liability, fines and penalties imposed by state and federal regulators, claims for purportedly fraudulent transactions arising out of the actual or alleged theft of credit or debit card information, compromised security and information systems, failure of our employees to comply with applicable laws, the unauthorized acquisition or use of such information by third parties, or other similar claims, and various costs associated with such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heavily on certain vendors, suppliers and distributors, which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maintain consistent price, quality and safety throughout our restaurants depends in part upon our ability to acquire specified food products and supplies in sufficient quantities from third-party vendors, suppliers and distributors at a reasonable cost. We do not control the businesses of our vendors, suppliers and distributors and our efforts to specify and monitor the standards under which they perform may not be successful. Furthermore, certain food items are perishable, and we have limited control over whether these items will be delivered to us in appropriate condition for use in our restaurants. If any of our distributors or suppliers perform inadequately, or our distribution or supply relationships are disrupted for any reason, our business, financial condition, results of operations or cash flows could be materially adversely affected. If we cannot replace or engage distributors or suppliers who meet our specifications in a short period of time, including any suppliers who are a sole source of supply of a particular ingredient, that could increase our expenses and cause shortages of food and other items at our restaurants, which could cause a restaurant to remove items from its menu. If that were to happen, affected restaurants could experience significant reductions in sales during the shortage or thereafter, especially if customers change their dining habits as a result. Our focus on a limited menu would make the consequences of a shortage of a key ingredient more severe. In addition, because we provide moderately priced food, we may choose not to, or may be unable to, pass along commodity price increases to consumers. These potential changes in food and supply costs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use various third-party vendors to provide, support and maintain most of our management information systems. We also outsource certain accounting, payroll and human resource functions to business process service providers. The failure of such vendors to fulfill their obligations could disrupt our operations. Any changes we may make to the services we obtain from our vendors, or new vendors we employ, may disrupt our operations. These disruptions could materially adversely affect our business, financial condition, results of operations or cash flows. For example, during 2023 our point of sale provider and food ordering vendors experienced temporary system outages. Future outages could lead to greater disruption to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partner with various third-party vendors to deliver our food. If any of our delivery vendors perform inadequately, or our delivery relationships are disrupted for any reason, our business, financial condition, results of operations or cash flows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continue to expand our digital business, delivery orders, and catering is uncertain, and these business lines are subject to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materially adversely impact our sales through these channels and could negatively impact our brand. Additionally, our delivery partners are responsible for order fulfillment and may make errors or fail to make timely deliveries, leading to customer disappointment that may negatively impact our brand. We also incur additional costs associated with using third-party service providers to fulfill these digital orders and the costs of delivery may have a material adverse impact on restaurant level margins. Additionally, several jurisdictions have implemented minimum wages for delivery drivers, and other jurisdictions are considering similar wage regulations, which could increase delivery fees and decrease our digital sales. Our competitive position within the third-party platforms can impact our sales.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Delivery and catering offerings also increase the risk of illnesses associated with our food because the food is transported and/or served by third parties in conditions we cannot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food and supply costs could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profitability depends in part on our ability to anticipate and react to changes in food and supply costs. Shortages or interruptions in the availability of certain supplies caused by seasonal fluctuations, unanticipated demand, problems in production or distribution, food contamination, product recalls, government regulations, inclement weather or other conditions could materially adversely affect the availability, quality and cost of our ingredients, which could harm our operations. Weather related issues, such as freezes, heavy rains or drought, may also lead to temporary spikes in the prices of some ingredients such as produce or meats. Increasing weather volatility or other long-term changes in global weather patterns, including any changes associated with global climate change, could have a significant impact on the price, availability and timing of delivery of some of our ingredients. In addition, at certain times of the year a substantial volume of our produce items is imported from Mexico and other countries. The United States has recently implemented or threatened certain changes in trade policies, including tariffs. Any new or increased import duties, tariffs or taxes, or other changes in U.S. trade or tax policy, could result in higher food and supply costs. Any increase in the prices of the food products most critical to our menu, such as pasta, beef, chicken, wheat flour, cheese and other dairy products, tofu and vegetables, could materially adversely affect our operating results, especially if we are unable to increase our menu prices in order to pass these increased costs on to consumers.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cost of several of our food ingredients increased as a result of inflation in many commodities, particularly chicken. As a result, specifically for our chicken purchases, we entered into temporary formula pricing contracts with our vendors and were susceptible to fluctuations in the commodities markets. While we saw material market improvement in chicken and other food ingredients in 2023 and 2024, if food inflation in the chicken market or any other food ingredient were to persist, our financial condition and business operations could be severely impacted. We have, and expect to continue to, enter into fixed-based pricing agreements for certain food ingredients to reduce our exposure to cost increases, but there can be no guarantee that we will be able to do so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inability or failure to recognize, respond to and effectively manage the accelerated impact of social media could have an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 widespread and dramatic increase in the use of social media platforms that allow users to access a broad audience of consumers and other interested persons.  The availability of information on social media can be virtually immediate, as can its impact, and users of many social media platforms can post information without filters or checks on the accuracy of the content posted.  Adverse information concerning our restaurants or brand, including user reviews, whether accurate or inaccurate, may be posted on such platforms at any time and can quickly reach a wide audience.  The resulting harm to our reputation may be immediate, without affording us an opportunity to correct or otherwise respond to the information, and it is challenging to monitor and anticipate developments on social media in order to respond in an effective and timely manner.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search engine marketing, social media and other new technological platforms offer great opportunities to increase awareness of and engagement with our restaurants and brand, our failure to use social media effectively in our marketing efforts may further expose us to the risks associated with the accelerated impact of social media. Many of our competitors are expanding their use of social media and the social media landscape is rapidly evolving, potentially making more traditional social media platforms obsolete. As a result, we need to continuously innovate and develop our social media strategies in order to maintain broad appeal with guests and brand relevance, and we may not do so effectively.  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materially damage our reputation or lead to litigation that materially increases our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Legal, Accounting, and Regulatory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Changes to estimates related to our property, fixtures and equipment or operating results that are lower than our current estimates at certain restaurant locations may cause us to incur impairment charges on certain long-lived assets, which may materially adversely affect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accounting guidance as it relates to the impairment of long-lived assets, we make certain estimates and projections with regard to individual restaurant operations, as well as our overall performance, in connection with our impairment analyses for long-lived assets. When impairment triggers are deemed to exist for any location, the estimated undiscounted future cash flows are compared to its carrying value. If the carrying value exceeds the undiscounted cash flows, an impairment charge equal to the difference between the carrying value and the fair value is recorded. The projections of future cash flows used in these analyses require the use of judgment and a number of estimates and projections of future operating results. If actual results differ from our estimates, additional charges for asset impairments may be required in the future. Over the past several years we have recognized significant impairment charges and if future impairment charges continue to be significant, this could have a material adverse effect on our business or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our internal control over financial reporting could adversely affect our business and financial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Our management is responsible for establishing and maintaining effective internal control over financial reporting. Inte</w:t>
      </w:r>
      <w:r>
        <w:rPr>
          <w:rFonts w:ascii="Times New Roman;sans-serif" w:hAnsi="Times New Roman;sans-serif"/>
          <w:b w:val="false"/>
          <w:color w:val="000000"/>
          <w:sz w:val="20"/>
        </w:rPr>
        <w:t>rnal control over financial reporting is a process to provide reasonable assurance regarding the reliability of financial reporting for external purposes in accordance with accounting principles generally accepted in the United States of America (“GAAP”). Because of its inherent limitations, internal control over financial reporting is not intended to provide absolute assurance that we would prevent or detect a material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may not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Governmental regulation may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federal, state and local regulations, including those relating to building and zoning requirements and those relating to the preparation and sale of food. Our restaurants are also subject to state and local licensing and regulation by health, sanitation, food and occupational safety and other agencies. We may experience material difficulties or failures in obtaining the necessary licenses, approvals or permits for our restaurants, which could delay planned restaurant openings or affect the operations at our existing restaurants. In addition, stringent and varied requirements of local regulators with respect to zoning, land use and environmental factors could delay or prevent development of new restaurants in particular locations. Moreover, the current uncertainty surrounding government regulations and policies could lead to disruptions in our business.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Americans with Disabilities Act and similar state laws that give civil rights protections to individuals with disabilities in the context of employment, public accommodations and other areas, including our restaurants. We may in the future have to modify restaurants, for example, by adding access ramps or redesigning certain architectural fixtures, to provide service to or make reasonable accommodations for disabled persons. The expenses associated with these modifications could be material.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Changes in these laws or implementation of new proposals for similar matters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franchising activities are subject to federal rules and regulations administered by the U.S. Federal Trade Commission and laws enacted by a number of states. In particular, we are subject to federal and state laws regulating the offer and sale of franchises, as well as judicial and administrative interpretations of such laws. Such laws impose registration and disclosure requirements on franchisors in the offer and sale of franchises and may also apply substantive standards to the relationship between franchisor and franchisee, including limitations on the ability of franchisors to terminate franchises and alter franchise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arrangements. Failure to comply with new or existing franchise laws, rules, and regulations in any jurisdiction or to obtain required government approvals could negatively affect our ability to grow or expand our franchise business and sell franchises.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collection, transmission and retention of large volumes of customer and employee data (among others), including credit and debit card numbers and other personally identifiable information. The collection and use of such information is regulated at the federal and state levels, as well as internationally. Regulatory requirements, both domestic and abroad, have been changing with increasing regulation relating to the privacy, security and protection of data. Such regulatory requirements may become more prevalent in other states and jurisdictions as well. Monitoring and complying with these laws requires substantial resources and there is no assurance that our compliance efforts will be successful in preventing breaches or data loss. Failure to comply with these laws, whether through fault of our own information systems or those of third parties, could not only cause us to fail to comply with these laws and regulations, but also could cause us to face litigation and penalties that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employment laws may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Various federal and state labor laws govern the relationship with our employees and affect labor and operating costs. These laws include employee classification as exempt/non-exempt for overtime and other purposes, minimum wage requirements, unemployment tax rates, workers’ compensation rates, mandatory health benefits, immigration status and other wage and benefit requirements. Some jurisdictions, including some of those in which we operate, have recently increased their minimum wage by a significant amount, and other jurisdictions are considering similar actions, which has and may continue increase our labor costs. Several jurisdictions have implemented fair workweek or “secure scheduling” legislation, which impose complex requirements related to scheduling for certain restaurant and retail employees, and additional jurisdictions are considering similar legislation. Several jurisdictions have also implemented sick pay and paid time off legislation, which requires employers to provide paid time off to employees, and “just cause” termination legislation, which restricts companies’ ability to terminate employees or reduce employees’ hours unless they can prove “just cause” or a “bona fide economic reason” for the termination or reduction in hours. All of these regulations impose additional obligations on us and our failure to comply with any of these regulations could subject us to penalties and other legal liabilities. Significant additional government-imposed increases in the following areas could materially affect our business, financial condition, operating results or cash flow: overtime rules; mandatory health benefits; vacation accruals; paid leaves of absence, including paid sick leave; and tax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Immigration laws have recently been an area of considerable focus by the Department of Homeland Security, with enforcement operations taking place across the country, resulting in arrests, detentions and deportation of unauthorized workers. Some of these changes and enforcement programs may increase our obligations for compliance and oversight, which could subject us to additional costs and make our hiring process more cumbersome or reduce the availability of potential employees. Although we require all workers to provide us with government-specified documentation evidencing their employment eligibility, some of our employees may, without our knowledge, be unauthorized workers. Unauthorized workers are subject to deportation and may subject us to fines or penalties, and if any of our workers are found to be unauthorized we could experience adverse publicity that negatively impacts our brand and may make it more difficult to hire and keep qualified employees. Termination of a significant number of employees who were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New information or attitudes regarding diet and health could result in changes in regulations and consumer consumption habits that could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and consumer eating habits may change as a result of new information or attitudes regarding diet, health and safety. Such changes may include federal, state and local regulations and recommendations from medical and diet professionals pertaining to the ingredients and nutritional content of the food and beverages we offer. The success of our restaurant operations is dependent, in part, upon our ability to effectively respond to changes in any consumer health regulations and our ability to adapt our menu offerings to trends in food consumption. If consumer health regulations or consumer eating habits change significantly, we may choose or be required to modify or remove certain menu items, which may cause us to incur costs to implement those changes and may materially adversely affect the appeal of our menu to new or returning customers. To the extent we are unwilling or unable to respond with appropriate changes to our menu offerings, it could materially affect consumer demand and could have a material adverse impact on our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regulation and consumer eating habits may impact our business as a result of changes in attitudes regarding diet, medications and health or new information regarding the adverse health effects of consuming certain menu offerings. As discussed in Part I, “Business-Governmental Regulation and Environmental Matters” of this 10-K, these changes have resulted in, and may continue to result in, laws and regulations requiring us to disclose the nutritional content of our food offerings, and they have resulted, and may continue to result in, laws and regulations affecting permissible ingredients and menu offerings. Inconsistencies among state laws with respect to presentation of nutritional content could be challenging for us to comply with in an efficient manner. The Patient Protection and Affordable Care Act also requires covered restaurants to provide to consumers, upon request, a written summary of detailed nutritional information for each standard menu item, and to provide a statement on menus and menu boards about the availability of this information upon request. An unfavorable report on, or reaction to, our menu ingredients, the size of our portions or the nutritional content of our menu items could negatively influence the demand for our offerings.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current and future laws and regulations regarding the ingredients and nutritional content of our menu items may be costly and time-consuming.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effectively respond to changes in consumer health and safety perceptions or to successfully implement the nutrient content disclosure requirements and adapt our menu offerings to trends in eating habits. The imposition of additional menu labeling laws could materially adversely affect our business, financial condition, results of operations or cash flows, as well as our position within the restaurant industry in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our intellectual property, which could harm the value of our brand and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material to the conduct of our business and our marketing efforts. Our ability to implement our business plan successfully depends in part on our ability to further build brand recognition using our trademarks, service marks, trade dress and other proprietary intellectual property, including our name and logos and the unique ambiance of our restaurants. While it is our policy to protect and defend vigorously our rights to our intellectual property, we cannot predict whether steps taken by us to protect our intellectual property rights will be adequate to prevent misappropriation of these rights or the use by others of restaurant features based upon, or otherwise similar to, our concept. It may be difficult for us to prevent others from copying elements of our concept and any litigation to enforce our rights will likely be costly and may not be successful. Although we believe that we have sufficient rights to all of our trademarks and service marks, we may face claims of infringement that could interfere with our ability to market our restaurants and promote our brand. Any such litigation may be costly and divert resources from our business. Moreover, if we are unable to successfully defend against such claims, we may be prevented from using our trademarks or service marks in the future, may be liable for damages and may have to change our marketing efforts, which in turn could materially adversely affect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could be party to litigation that could adversely affect us by distracting management, increasing our expenses or subjecting us to material money damages and other remedies.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occasionally file complaints or lawsuits against us alleging we caused an illness or injury they suffered at or after a visit to our restaurants, or that we have problems with food quality or operations. These kinds of complaints or lawsuits may be more common in a period in which the public is focused on health safety issues, or may attract more attention due to publication on various social media outlets. We are also subject to a variety of other claims arising in the ordinary course of our business, including personal injury claims, contract claims and claims alleging violations of federal and state law regarding workplace and employment matters, equal opportunity, discrimination and similar matters and we could become subject to class action or other lawsuits related to these or different matters in the future. In addition, the restaurant industry has from time to time been subject to claims based on the nutritional content of food products sold and disclosure and advertising practices. We may also become subject to various employee and workplace litigation, including claims related to discrimination, harassment, workplace safety, medical and family leave, and wage-and-hour issues.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whether any claims against us are valid, or whether we are ultimately held liable, claims may be expensive to defend and may divert time and money away from our operations and hurt our performance. A judgment in excess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coverage for any claims could materially adversely affect our financial condition or results of operations. Any adverse publicity resulting from these allegations, even if proven to be false, may also materially adversely affect our reputation or prospects, which in turn could materially adversely affect our business, financial condition, results of operations or cash flows. </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Increasing attention to and evolving expectations for corporate responsibility matters may increase our costs, harm our reputation, or otherwise adversely affect our business.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reputation could be harmed if we fail, or are perceived to fail, to comply with various regulatory requirements or if we are unable to meet stakeholder expectations in a number of areas such as health, safety and security; sustainability; environmental stewardship; climate change; human rights; and corporate governance. We manage a broad range of corporate responsibility matters, taking into consideration their expected effect on the sustainability of our business over time, and the potential effect of our business on society and the environment. Such efforts can be costly and complex, and we may not ultimately accomplish our desired objectives, either as intended or at all. In addition, both guest, and shareholder and other stakeholder expectations regarding such matters are evolving, and navigating these issues will require us to successfully manage differing views on these matters. Adverse incidents or failure to comply or meet expectations with respect to our corporate responsibility efforts could negatively affect our reputation, the cost of our operations, and relationships with guests and shareholder and other stakeholders, all of which could adversely affect our business, results of operations, and the price of our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Debt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fail to qualify for continued listing on the Nasdaq Global Select Market, which could make it more difficult for our stockholders to sell their shares and reduce our ability to raise additional capital.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satisfy the continued listing requirements of the Nasdaq Global Select Market (“Nasdaq”) to maintain such listing, including, among other things, the maintenance of a minimum closing bid price of $1.00 per share. On December 24, 2024, we received a notice from Nasdaq indicating that we were not in compliance with the minimum bid price requirements set forth in Nasdaq Listing Rule 5450(a)(1) for continued listing on Nasdaq. Nasdaq Listing Rule 5450(a)(1) requires listed securities maintain a minimum closing bid price of $1.00 per share, and Nasdaq Listing Rule 5810(c)(3)(A) provides that a failure to meet the minimum closing bid price requirement exists if the deficiency continues for a period of 30 consecutive business days. The notification of noncompliance had no immediate effect on the listing or trading of our common stock on Nasdaq and we had 180 calendar days from the date of notice to achieve compliance with the minimum bid price requirement. To regain compliance, the closing bid price of our common stock must have been at least $1.00 per share for a minimum of 10 consecutive business days at any time prior to the expiration of the 180-calendar day grace period, unless Nasdaq exercised its discretion to extend this ten-day period. On February 5, 2025, Nasdaq notified us that, as of February 5, 2025, we had regained compliance with Nasdaq Listing Rule 5450(a)(1) and that the matter is now closed.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Though we recently regained compliance, we could be notified in the future of non compliance if our stock price again falls below $1 for the compliance time period. We may fail to qualify for continued listing on the Nasdaq Global Select Market again. We intend to monitor closely the closing bid price of our common stock and to consider all of the options for maintaining, or if necessary, regaining, compliance with Nasdaq’s Listing Rule 5450(a)(1), including by proposing a reverse stock split for stockholder approval, if necessary. While we plan to review all available options, there can be no assurance that we will be able to regain compliance with Nasdaq Listing Rule 5450(a)(1) during the 180-calendar day compliance period or any subsequent extension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common stock is delisted by Nasdaq, we could face significant material adverse consequences, including: a limited availability of market quotations for our common stock; reduced liquidity with respect to our common stock; a determination that our shares are “penny stock,” which will require brokers trading in our shares to adhere to more stringent shares, and which may limit demand for our common stock; a limited amount of analyst coverage for our company; and a decreased ability to obtain additional financing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 and could fall below the expectations of securities analysts and investors due to seasonality and other factors, some of which are beyond our control, resulting in a decline in our stock price.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operating results may fluctuate significantly because of several factors, including but not limited to: increases and decreases in average unit volumes and comparable restaurant sales; profitability of our restaurants; labor availability and costs for hourly and management personnel; changes in interest rates; macroeconomic conditions, both nationally and locally; negative publicity relating to the consumption of products we serve; changes in consumer preferences and competitive conditions; impairment of long-lived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 During 2024, we experienced lower comparable sales, lower operating income and a decline in our stock price.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Seasonal factors, particularly weather disruptions, and the timing of holidays also cause our revenue to fluctuate from quarter to quarter. Our revenue per restaurant is typically lower in the first and fourth quarters due to reduced winter and holiday traffic and higher in the second and third quarters. As a result of these factors, our quarterly and annual operating results and comparable restaurant sales may fluctuate significantly.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or the perception that such sales may occur, could depress our common stock price.</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Sales of a substantial number of shares of our common stock in the public market, or the perception that such sales may occur, could depress the market price of our common stock. Our amended and restated certificate of incorporation authorizes us to issue up to 180,000,000 shares of Class A common stock and Class B common stock</w:t>
      </w:r>
      <w:r>
        <w:rPr>
          <w:rFonts w:ascii="Times New Roman;sans-serif" w:hAnsi="Times New Roman;sans-serif"/>
          <w:b w:val="false"/>
          <w:color w:val="000000"/>
          <w:sz w:val="20"/>
          <w:shd w:fill="FFFFFF" w:val="clear"/>
        </w:rPr>
        <w:t>. As of December 31, 2024, we have 45,738,007 outstanding shares of Class A common stock and no outstanding shares of Class B common stock. In addition, as of such date, approximately 3,914,863 shares of Class A common stock are issuable upon the exercise of outstanding stock options and the vesting of restricted stock units. Moreover, as of that date, approxi</w:t>
      </w:r>
      <w:r>
        <w:rPr>
          <w:rFonts w:ascii="Times New Roman;sans-serif" w:hAnsi="Times New Roman;sans-serif"/>
          <w:b w:val="false"/>
          <w:color w:val="000000"/>
          <w:sz w:val="20"/>
        </w:rPr>
        <w:t>mately 3.4 million shares of our common stock are available for future grants under our stock incentive plan and for future purchase under our employee stock purchase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organizational documents and Delaware law may delay or prevent our acquisition by a third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our second amended and restated bylaws and Delaware law each contain several provisions that may make it more difficult for a third party to acquire control of us without the approval of our Board of Directors. For example, we have a classified Board of Directors with three-year staggered terms, which could delay the ability of stockholders to change the membership of a majority of our Board of Directors. These provisions may make it more difficult or expensive for a third party to acquire a majority of our outstanding equity interests. These provisions also may delay, prevent or deter a merger, acquisition, tender offer, proxy contest or other transaction that might otherwise result in our stockholders receiving a premium over the market price for their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credit facility has variable interest rates and increases in or sustained high interest rates could continue to result in high borrowing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A&amp;R Credit Agreement (as defined below) has a variable interest rate equal to the Secured Overnight Financing Rate (“SOFR”) plus a margin of 1.75% to 3.75% per annum, based upon the consolidated total lease adjusted leverage ratio. Interest rates may rise in the future due to inflation or other causes. Interest rates were relatively high during 2022 and 2023 and moderated in 2024. As a result, the costs of servicing our variable interest rate debt have and could again increase again even if the amount borrowed under such credit facility remains the same. Increased servicing costs could adversely affect our business, financial condition, results of operations or cash flows. During 2023 and 2024, we amended our credit agreement which resulted in, among other things, an increase in our borrowing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unable to negotiate favorable borrowing terms, and any additional capital we may require could be senior to existing equity holders, dilute existing equity holders or include unfavorable restrictions.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operating and developing our business requires significant capital. Our credit agreement ends in 2027 and securing access to credit on reasonable terms thereafter will require us to extend or refinance such agreement. In addition, in order to pursue our business and operational strategies, we may need additional sources of liquidity in the future and it may be difficult or impossible at such time to increase our liquidity. Our lenders may not agree to amend our credit agreement at such time to increase our borrowing capacity. Further, our requirements for additional liquidity may coincide with periods during which we are not in compliance with covenants under our credit agreement and our lenders may not agree to further amend our credit agreement to accommodate such non-compliance. Even if we are able to access additional liquidity, agreements governing any borrowing 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higher interest rates, especially given the current inflationary environment, and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common stockholders to make claims on our assets. We amended our credit agreement in 2023 and 2024, which resulted in an increase in our borrowing rates and modifications to both the Fixed Charge and Consolidated Total Lease Adjusted Leverage rations and restrictions related to new restaurant growth and new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collect, store and transmit sensitive information including intellectual property, proprietary business information and personal information in connection with business operations. Additionally, we leverage our third-party vendors to collect, use, store, and transmit confidential, sensitive, proprietary, personal, and health-related information. The secure maintenance of this information and our information technology systems is important to our operations and business strategy. To this end, we have implemented processes designed to assess, identify, and manage risks from potential unauthorized occurrences on or through our information technology systems that may result in adverse effects on the confidentiality, integrity, and availability of these systems and the data residing therein. These processes are managed and monitored by a dedicated information technology team, which is led by our Executive Vice President of Technology, and include mechanisms, controls, technologies, systems, and other processes designed to prevent or mitigate data loss, theft, misuse, or other security incidents or vulnerabilities affecting the data and maintain a stable information technology environment. For example, we regularly monitor our information technology environment for abnormal behavior, conduct penetration and vulnerability testing, data recovery testing, security audits, and ongoing risk assessments, including due diligence on our key technology vendors and other third-party service providers that have access to the personal information we collect, use, store, and transmit. We leverage standard industry tools from a software and hardware perspective and maintain a cybersecurity risk insurance policy. We also conduct periodic employee trainings on cyber and information security, among other topics. In addition, we consult with outside advisors and experts on a regular basis to assist with assessing, identifying, and managing cybersecurity risks, including to anticipate future threats and trends, and their impact on the Company’s risk environment.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Vice President of Technology, who reports directly to the Chief Executive Officer and has over 17 years of experience managing information technology and cybersecurity matters, together with our senior leadership team, is responsible for assessing and managing cybersecurity risks. We consider cybersecurity, along with other significant risks that we face, within our overall enterprise risk management framework. Since the beginning of the last fiscal year, we have not identified risks from known cybersecurity threats, including as a result of any prior cybersecurity incidents, that have materially affected us, but we face certain ongoing cybersecurity risks threats that, if realized, are reasonably likely to materially affect us. Additional information on cybersecurity risks we face is discussed in Part I, Item 1A, “Risk Factors,” under the heading “We may be harmed by breaches of security of information technology systems or our confidential consumer, employee, financial, or other proprietary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as a whole and at the committee level, has oversight for the most significant risks facing us and for our processes to identify, prioritize, assess, manage, and mitigate those risks. The Audit Committee, which is comprised solely of independent directors, has been designated by our Board to oversee cybersecurity risks. The Audit Committee receives regular updates on cybersecurity, including immediate notification of any material cybersecurity events, and information technology matters and related risk exposures from our Executive Vice President of Technology as well as other members of the senior leadership team. The Audit Committee also reviews reports from third party service providers and discusses the findings with management. The Board receives updates from management and the Audit Committee on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jc w:val="both"/>
        <w:rPr/>
      </w:pPr>
      <w:r>
        <w:rPr>
          <w:rFonts w:ascii="Times New Roman;sans-serif" w:hAnsi="Times New Roman;sans-serif"/>
          <w:b w:val="false"/>
          <w:color w:val="000000"/>
          <w:sz w:val="20"/>
        </w:rPr>
        <w:t>As of December 31, 2024, we and our franchisees operated 463 restaurants in 31 states. Our restaurants are typically</w:t>
      </w:r>
      <w:r>
        <w:rPr>
          <w:color w:val="000000"/>
          <w:shd w:fill="FFFFFF" w:val="clear"/>
        </w:rPr>
        <w:t xml:space="preserve"> </w:t>
      </w:r>
      <w:r>
        <w:rPr>
          <w:rFonts w:ascii="Times New Roman;sans-serif" w:hAnsi="Times New Roman;sans-serif"/>
          <w:b w:val="false"/>
          <w:color w:val="000000"/>
          <w:sz w:val="20"/>
          <w:shd w:fill="FFFFFF" w:val="clear"/>
        </w:rPr>
        <w:t xml:space="preserve">between </w:t>
      </w:r>
      <w:r>
        <w:rPr>
          <w:rFonts w:ascii="Times New Roman;sans-serif" w:hAnsi="Times New Roman;sans-serif"/>
          <w:b w:val="false"/>
          <w:color w:val="000000"/>
          <w:sz w:val="20"/>
        </w:rPr>
        <w:t>2,000 and 2,600 square feet</w:t>
      </w:r>
      <w:r>
        <w:rPr>
          <w:color w:val="000000"/>
          <w:shd w:fill="FFFFFF" w:val="clear"/>
        </w:rPr>
        <w:t xml:space="preserve"> </w:t>
      </w:r>
      <w:r>
        <w:rPr>
          <w:rFonts w:ascii="Times New Roman;sans-serif" w:hAnsi="Times New Roman;sans-serif"/>
          <w:b w:val="false"/>
          <w:color w:val="000000"/>
          <w:sz w:val="20"/>
          <w:shd w:fill="FFFFFF" w:val="clear"/>
        </w:rPr>
        <w:t>and are located i</w:t>
      </w:r>
      <w:r>
        <w:rPr>
          <w:rFonts w:ascii="Times New Roman;sans-serif" w:hAnsi="Times New Roman;sans-serif"/>
          <w:b w:val="false"/>
          <w:color w:val="000000"/>
          <w:sz w:val="20"/>
        </w:rPr>
        <w:t>n a variety of suburban, collegiate and urban markets. We lease the property for our central support office and all of the properties on which we operate restaurants. The chart below shows the locations of our company-owned and franchised restaurants as of December 31, 2024.</w:t>
      </w:r>
    </w:p>
    <w:tbl>
      <w:tblPr>
        <w:tblW w:w="5110" w:type="dxa"/>
        <w:jc w:val="left"/>
        <w:tblInd w:w="0" w:type="dxa"/>
        <w:tblLayout w:type="fixed"/>
        <w:tblCellMar>
          <w:top w:w="28" w:type="dxa"/>
          <w:left w:w="28" w:type="dxa"/>
          <w:bottom w:w="28" w:type="dxa"/>
          <w:right w:w="28" w:type="dxa"/>
        </w:tblCellMar>
      </w:tblPr>
      <w:tblGrid>
        <w:gridCol w:w="488"/>
        <w:gridCol w:w="428"/>
        <w:gridCol w:w="434"/>
        <w:gridCol w:w="109"/>
        <w:gridCol w:w="109"/>
        <w:gridCol w:w="109"/>
        <w:gridCol w:w="330"/>
        <w:gridCol w:w="330"/>
        <w:gridCol w:w="331"/>
        <w:gridCol w:w="109"/>
        <w:gridCol w:w="109"/>
        <w:gridCol w:w="109"/>
        <w:gridCol w:w="350"/>
        <w:gridCol w:w="350"/>
        <w:gridCol w:w="351"/>
        <w:gridCol w:w="109"/>
        <w:gridCol w:w="109"/>
        <w:gridCol w:w="109"/>
        <w:gridCol w:w="239"/>
        <w:gridCol w:w="242"/>
        <w:gridCol w:w="256"/>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Franchised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Dakota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w:t>
            </w:r>
            <w:r>
              <w:rPr>
                <w:color w:val="000000"/>
              </w:rPr>
              <w:t>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obligated under non-cancelable leases for our restaurants and our central support office. Our restaurant leases generally have initial terms of 10 years with two or more five-year renewal options. Our restaurant leases may require us to pay a proportionate share of real estate taxes, insurance, common area maintenance charges and other operating costs.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December 31, 2024.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88" w:before="0" w:after="0"/>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5.    Market for the Registrant’s Common Equity, Related Stockholder Matters and Issuer Purchases of Equity Securities</w:t>
      </w:r>
    </w:p>
    <w:p>
      <w:pPr>
        <w:pStyle w:val="TextBody"/>
        <w:bidi w:val="0"/>
        <w:spacing w:before="0" w:after="0"/>
        <w:ind w:left="0" w:right="0" w:hanging="990"/>
        <w:jc w:val="left"/>
        <w:rPr/>
      </w:pPr>
      <w:r>
        <w:rPr/>
      </w:r>
    </w:p>
    <w:p>
      <w:pPr>
        <w:pStyle w:val="TextBody"/>
        <w:bidi w:val="0"/>
        <w:spacing w:lineRule="auto" w:line="288" w:before="0" w:after="0"/>
        <w:jc w:val="left"/>
        <w:rPr>
          <w:color w:val="0A2972"/>
        </w:rPr>
      </w:pPr>
      <w:r>
        <w:rPr>
          <w:color w:val="0A2972"/>
        </w:rPr>
        <w:t> </w:t>
      </w:r>
    </w:p>
    <w:p>
      <w:pPr>
        <w:pStyle w:val="TextBody"/>
        <w:bidi w:val="0"/>
        <w:spacing w:lineRule="auto" w:line="288" w:before="0" w:after="240"/>
        <w:jc w:val="both"/>
        <w:rPr/>
      </w:pPr>
      <w:r>
        <w:rPr>
          <w:rFonts w:ascii="Times New Roman;sans-serif" w:hAnsi="Times New Roman;sans-serif"/>
          <w:b w:val="false"/>
          <w:color w:val="000000"/>
          <w:sz w:val="20"/>
        </w:rPr>
        <w:t>Our Class A common stock trades on the Nasdaq Global Select Market under the symbol NDLS. As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February 28, 2025</w:t>
      </w:r>
      <w:r>
        <w:rPr>
          <w:rFonts w:ascii="Times New Roman;sans-serif" w:hAnsi="Times New Roman;sans-serif"/>
          <w:b w:val="false"/>
          <w:color w:val="000000"/>
          <w:sz w:val="20"/>
          <w:shd w:fill="FFFFFF" w:val="clear"/>
        </w:rPr>
        <w:t>, there were approximatel</w:t>
      </w:r>
      <w:r>
        <w:rPr>
          <w:rFonts w:ascii="Times New Roman;sans-serif" w:hAnsi="Times New Roman;sans-serif"/>
          <w:b w:val="false"/>
          <w:color w:val="000000"/>
          <w:sz w:val="20"/>
        </w:rPr>
        <w:t>y 30 holders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record of our common stock. The number of holders of record is based upon the actual numbers of holders registered at such date and does not include holders of shares in “street name” or persons, partnerships, associates, corporations or other entities in security position listings maintained by depositories.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no share repurchases during the fourth quarter of 2024.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Sales of Unregistered Securities by the Issuer</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sold no unregistered securities that have not been previously included in a Quarterly Report on Form 10-Q or in a Current Report on Form 8-K.</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dividends have been declared or paid on our shares of common stock. We do not anticipate paying any cash dividends on any of our shares of common stock in the foreseeable future. We currently intend to retain any earnings to reduce outstanding debt and finance the development and expansion of our business. Any future determination to pay dividends will be at the discretion of our Board of Directors and will be dependent upon then-existing conditions, including our earnings, capital requirements, results of operations, financial condition, business prospects and other factors that our Board of Directors considers relevant. Further, our credit facility and warrants each contain provisions that limit our ability to pay dividends on our common stock. See “Management’s Discussion and Analysis of Financial Condition and Results of Operations” and “Certain Relationships and Related Transactions, and Director Independence” for additional information regarding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40"/>
        <w:jc w:val="both"/>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included in Item 8. “Financial Statements and Supplementary Data.” This section of the Form 10-K generally discusses</w:t>
      </w:r>
      <w:r>
        <w:rPr>
          <w:color w:val="000000"/>
          <w:shd w:fill="FFFFFF" w:val="clear"/>
        </w:rPr>
        <w:t xml:space="preserve"> </w:t>
      </w:r>
      <w:r>
        <w:rPr>
          <w:rFonts w:ascii="Times New Roman;sans-serif" w:hAnsi="Times New Roman;sans-serif"/>
          <w:b w:val="false"/>
          <w:i/>
          <w:color w:val="000000"/>
          <w:sz w:val="20"/>
          <w:shd w:fill="FFFFFF" w:val="clear"/>
        </w:rPr>
        <w:t>2024 and 2023 items and year-to-year comparisons of 2024 to 2023. Discussions of 2022 items and year-to-year comparisons of 2023 and 2022 that are not included in this Form 10-K can be found in “Management’s Discussion and Analysis of Financial Condition and Results of Operations” in Part II, Item 7 on our Annual Report on Form 10-K for the year ended January 2, 2024. In addit</w:t>
      </w:r>
      <w:r>
        <w:rPr>
          <w:rFonts w:ascii="Times New Roman;sans-serif" w:hAnsi="Times New Roman;sans-serif"/>
          <w:b w:val="false"/>
          <w:i/>
          <w:color w:val="000000"/>
          <w:sz w:val="20"/>
        </w:rPr>
        <w:t>ion to historical information, this discussion and analysis contains forward-looking statements that involve risks and uncertainties. Our actual results may differ materially from those anticipated in these forward-looking statements as a result of certain factors including, but not limited to, those discussed in Item 1A. “Risk Factors” and elsewhere in this report.</w:t>
      </w:r>
    </w:p>
    <w:p>
      <w:pPr>
        <w:pStyle w:val="TextBody"/>
        <w:bidi w:val="0"/>
        <w:spacing w:lineRule="auto" w:line="288" w:before="0" w:after="240"/>
        <w:jc w:val="both"/>
        <w:rPr/>
      </w:pPr>
      <w:r>
        <w:rPr>
          <w:rFonts w:ascii="Times New Roman;sans-serif" w:hAnsi="Times New Roman;sans-serif"/>
          <w:b w:val="false"/>
          <w:i/>
          <w:color w:val="000000"/>
          <w:sz w:val="20"/>
        </w:rPr>
        <w:t>We operate on a 52- or 53-week fiscal year ending on the Tuesday closest to December 31.</w:t>
      </w:r>
      <w:r>
        <w:rPr>
          <w:color w:val="000000"/>
          <w:shd w:fill="FFFFFF" w:val="clear"/>
        </w:rPr>
        <w:t xml:space="preserve"> </w:t>
      </w:r>
      <w:r>
        <w:rPr>
          <w:rFonts w:ascii="Times New Roman;sans-serif" w:hAnsi="Times New Roman;sans-serif"/>
          <w:b w:val="false"/>
          <w:i/>
          <w:color w:val="000000"/>
          <w:sz w:val="20"/>
          <w:shd w:fill="FFFFFF" w:val="clear"/>
        </w:rPr>
        <w:t>Fiscal years 2024 and 2023, which ended on December 31, 2024 and January 2, 2024, respectively, contained 52 weeks. We refer to our fiscal years as 2024 and 2023. Our fiscal quarters each contained 13 operating week</w:t>
      </w:r>
      <w:r>
        <w:rPr>
          <w:rFonts w:ascii="Times New Roman;sans-serif" w:hAnsi="Times New Roman;sans-serif"/>
          <w:b w:val="false"/>
          <w:i/>
          <w:color w:val="000000"/>
          <w:sz w:val="20"/>
        </w:rPr>
        <w:t xml:space="preserve">s.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jc w:val="both"/>
        <w:rPr/>
      </w:pPr>
      <w:r>
        <w:rPr>
          <w:rFonts w:ascii="Times New Roman;sans-serif" w:hAnsi="Times New Roman;sans-serif"/>
          <w:b w:val="false"/>
          <w:color w:val="000000"/>
          <w:sz w:val="20"/>
        </w:rPr>
        <w:t>Noodles &amp; Company is a restaurant concept offering lunch and dinner within the fast-casual segment of the restaurant industry. We opened our first location in 1995, offering noodle and pasta dishes, staples of many different cuisines, with the goal of delivering fresh ingredients and flavors from around the world under one roof. Today, our globally-inspired menu includes a wide variety of high quality, cooked-to-order dishes, including noodles and pasta, soups, salads and appetizers. We believe we offer our customers value with a per-person spen</w:t>
      </w:r>
      <w:r>
        <w:rPr>
          <w:rFonts w:ascii="Times New Roman;sans-serif" w:hAnsi="Times New Roman;sans-serif"/>
          <w:b w:val="false"/>
          <w:color w:val="000000"/>
          <w:sz w:val="20"/>
          <w:shd w:fill="FFFFFF" w:val="clear"/>
        </w:rPr>
        <w:t>d of $13.31</w:t>
      </w:r>
      <w:r>
        <w:rPr>
          <w:color w:val="000000"/>
        </w:rPr>
        <w:t xml:space="preserve"> </w:t>
      </w:r>
      <w:r>
        <w:rPr>
          <w:rFonts w:ascii="Times New Roman;sans-serif" w:hAnsi="Times New Roman;sans-serif"/>
          <w:b w:val="false"/>
          <w:color w:val="000000"/>
          <w:sz w:val="20"/>
        </w:rPr>
        <w:t>in 2024.</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Recent Trends, Risks and Uncertainties</w:t>
      </w:r>
    </w:p>
    <w:p>
      <w:pPr>
        <w:pStyle w:val="TextBody"/>
        <w:bidi w:val="0"/>
        <w:spacing w:lineRule="auto" w:line="288" w:before="0" w:after="0"/>
        <w:jc w:val="both"/>
        <w:rPr/>
      </w:pPr>
      <w:r>
        <w:rPr>
          <w:rFonts w:ascii="Times New Roman;sans-serif" w:hAnsi="Times New Roman;sans-serif"/>
          <w:b w:val="false"/>
          <w:i/>
          <w:color w:val="000000"/>
          <w:sz w:val="20"/>
        </w:rPr>
        <w:t>Comparable Restaurant Sales.</w:t>
      </w:r>
      <w:r>
        <w:rPr>
          <w:color w:val="000000"/>
        </w:rPr>
        <w:t xml:space="preserve"> </w:t>
      </w:r>
      <w:r>
        <w:rPr>
          <w:rFonts w:ascii="Times New Roman;sans-serif" w:hAnsi="Times New Roman;sans-serif"/>
          <w:b w:val="false"/>
          <w:color w:val="000000"/>
          <w:sz w:val="20"/>
          <w:shd w:fill="FFFFFF" w:val="clear"/>
        </w:rPr>
        <w:t>In fiscal 2024, system-wide comparable restaurant sales decreased 1.5%, comprised of a 1.8% decrease for company-owned restaurants and a 0.2% decrease for franchise restaurants. R</w:t>
      </w:r>
      <w:r>
        <w:rPr>
          <w:rFonts w:ascii="Times New Roman;sans-serif" w:hAnsi="Times New Roman;sans-serif"/>
          <w:b w:val="false"/>
          <w:color w:val="000000"/>
          <w:sz w:val="20"/>
        </w:rPr>
        <w:t>estaurant industry sales remain volatile, with elevated levels of discounting targeting increasingly price-sensitive consumers. Our sales have been impacted by the challenging consumer environment and we responded with added promotional support in the fourth quarter of 2024. The consumer environment has caused many restaurant companies to report a decreased level of same store sales in 2024, and our sales trends have followed. We are focusing on revitalizing our menu options and began implementing menu changes late in 2024 and into the first half of 2025 when the substantial portion of the rollout is to be completed nationally</w:t>
      </w:r>
      <w:r>
        <w:rPr>
          <w:rFonts w:ascii="Times New Roman;sans-serif" w:hAnsi="Times New Roman;sans-serif"/>
          <w:b w:val="false"/>
          <w:color w:val="000000"/>
          <w:sz w:val="20"/>
          <w:shd w:fill="FFFFFF" w:val="clear"/>
        </w:rPr>
        <w:t>. We are taking these and other actions to address these declines, but there is no guarantee these actions will ultimately be successful and we cannot predict the extent and duration of this decline.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Cost of Sales. </w:t>
      </w:r>
      <w:r>
        <w:rPr>
          <w:rFonts w:ascii="Times New Roman;sans-serif" w:hAnsi="Times New Roman;sans-serif"/>
          <w:b w:val="false"/>
          <w:color w:val="000000"/>
          <w:sz w:val="20"/>
          <w:shd w:fill="FFFFFF" w:val="clear"/>
        </w:rPr>
        <w:t xml:space="preserve">In recent years, we incurred incremental costs of sales driven by volatility in the commodity and food ingredients markets, particularly with our chicken products, in addition to an increase in packaging costs and distribution. The commodity markets underlying our cost of food have improved since the historically high costs in 2022. Our commodity inflation in 2024 was less than 2%. Throughout these periods of volatility, we have continued to work with our suppliers for ongoing supply chain efficiencies, including managing food waste and adding additional suppliers as necessary.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Labor Costs.</w:t>
      </w:r>
      <w:r>
        <w:rPr>
          <w:color w:val="000000"/>
          <w:shd w:fill="FFFFFF" w:val="clear"/>
        </w:rPr>
        <w:t xml:space="preserve"> </w:t>
      </w:r>
      <w:r>
        <w:rPr>
          <w:rFonts w:ascii="Times New Roman;sans-serif" w:hAnsi="Times New Roman;sans-serif"/>
          <w:b w:val="false"/>
          <w:color w:val="000000"/>
          <w:sz w:val="20"/>
          <w:shd w:fill="FFFFFF" w:val="clear"/>
        </w:rPr>
        <w:t xml:space="preserve">Similar to much of the restaurant industry, our base labor costs have risen in recent years. In 2024, we have seen the rate of wage inflation decrease. Our wage inflation in 2024 was less than 3%. We have been able to partially mitigate the impact of wage inflation through a continued focus on maximizing efficiencies of labor hour usage per restaurant.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Other Restaurant Operating Costs. </w:t>
      </w:r>
      <w:r>
        <w:rPr>
          <w:rFonts w:ascii="Times New Roman;sans-serif" w:hAnsi="Times New Roman;sans-serif"/>
          <w:b w:val="false"/>
          <w:color w:val="000000"/>
          <w:sz w:val="20"/>
          <w:shd w:fill="FFFFFF" w:val="clear"/>
        </w:rPr>
        <w:t>We have and expect to continue to incur third-party delivery fees resulting from a significant and increasing use of third-party delivery services.</w:t>
      </w:r>
    </w:p>
    <w:p>
      <w:pPr>
        <w:pStyle w:val="TextBody"/>
        <w:bidi w:val="0"/>
        <w:spacing w:lineRule="auto" w:line="288" w:before="280" w:after="240"/>
        <w:jc w:val="both"/>
        <w:rPr/>
      </w:pPr>
      <w:r>
        <w:rPr>
          <w:rFonts w:ascii="Times New Roman;sans-serif" w:hAnsi="Times New Roman;sans-serif"/>
          <w:b w:val="false"/>
          <w:i/>
          <w:color w:val="000000"/>
          <w:sz w:val="20"/>
        </w:rPr>
        <w:t>Restaurant Developm</w:t>
      </w:r>
      <w:r>
        <w:rPr>
          <w:rFonts w:ascii="Times New Roman;sans-serif" w:hAnsi="Times New Roman;sans-serif"/>
          <w:b w:val="false"/>
          <w:i/>
          <w:color w:val="000000"/>
          <w:sz w:val="20"/>
          <w:shd w:fill="FFFFFF" w:val="clear"/>
        </w:rPr>
        <w:t xml:space="preserve">ent. </w:t>
      </w:r>
      <w:r>
        <w:rPr>
          <w:rFonts w:ascii="Times New Roman;sans-serif" w:hAnsi="Times New Roman;sans-serif"/>
          <w:b w:val="false"/>
          <w:color w:val="000000"/>
          <w:sz w:val="20"/>
          <w:shd w:fill="FFFFFF" w:val="clear"/>
        </w:rPr>
        <w:t>In 2024</w:t>
      </w:r>
      <w:r>
        <w:rPr>
          <w:rFonts w:ascii="Times New Roman;sans-serif" w:hAnsi="Times New Roman;sans-serif"/>
          <w:b w:val="false"/>
          <w:color w:val="000000"/>
          <w:sz w:val="20"/>
        </w:rPr>
        <w:t>, we opened ten company-owned restaura</w:t>
      </w:r>
      <w:r>
        <w:rPr>
          <w:rFonts w:ascii="Times New Roman;sans-serif" w:hAnsi="Times New Roman;sans-serif"/>
          <w:b w:val="false"/>
          <w:color w:val="000000"/>
          <w:sz w:val="20"/>
          <w:shd w:fill="FFFFFF" w:val="clear"/>
        </w:rPr>
        <w:t xml:space="preserve">nts and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franchise restaurants. As of December 31, 2024, we had 371 company-owned restaurants and 92 franchise restaurants in 31 states. In 2025, we plan to open two new company-owned restaurants.</w:t>
      </w:r>
    </w:p>
    <w:p>
      <w:pPr>
        <w:pStyle w:val="TextBody"/>
        <w:bidi w:val="0"/>
        <w:spacing w:lineRule="auto" w:line="288" w:before="0" w:after="240"/>
        <w:jc w:val="both"/>
        <w:rPr/>
      </w:pPr>
      <w:r>
        <w:rPr>
          <w:rFonts w:ascii="Times New Roman;sans-serif" w:hAnsi="Times New Roman;sans-serif"/>
          <w:b w:val="false"/>
          <w:i/>
          <w:color w:val="000000"/>
          <w:sz w:val="20"/>
          <w:shd w:fill="FFFFFF" w:val="clear"/>
        </w:rPr>
        <w:t xml:space="preserve">Certain Restaurant Closures. </w:t>
      </w:r>
      <w:r>
        <w:rPr>
          <w:rFonts w:ascii="Times New Roman;sans-serif" w:hAnsi="Times New Roman;sans-serif"/>
          <w:b w:val="false"/>
          <w:color w:val="000000"/>
          <w:sz w:val="20"/>
          <w:shd w:fill="FFFFFF" w:val="clear"/>
        </w:rPr>
        <w:t xml:space="preserve">We closed thirteen and six company-owned restaurants in 2024 and 2023, respectively, most of which were either generating low or negative cash flows, at or approaching the expiration of their leases or in trade areas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not as well positioned for current consumer trends. We continue to analyze our restaurant portfolio and expect to </w:t>
      </w:r>
      <w:r>
        <w:rPr>
          <w:rFonts w:ascii="Times New Roman;sans-serif" w:hAnsi="Times New Roman;sans-serif"/>
          <w:b w:val="false"/>
          <w:color w:val="000000"/>
          <w:sz w:val="20"/>
        </w:rPr>
        <w:t xml:space="preserve">close certain restaurants that are </w:t>
      </w:r>
      <w:r>
        <w:rPr>
          <w:rFonts w:ascii="Times New Roman;sans-serif" w:hAnsi="Times New Roman;sans-serif"/>
          <w:b w:val="false"/>
          <w:color w:val="000000"/>
          <w:sz w:val="20"/>
          <w:shd w:fill="FFFFFF" w:val="clear"/>
        </w:rPr>
        <w:t>either generating low or negative cash flows, at or approaching the expiration of their leases or in trade areas that are not as well positioned for current consumer trends</w:t>
      </w:r>
      <w:r>
        <w:rPr>
          <w:rFonts w:ascii="Times New Roman;sans-serif" w:hAnsi="Times New Roman;sans-serif"/>
          <w:b w:val="false"/>
          <w:color w:val="000000"/>
          <w:sz w:val="20"/>
        </w:rPr>
        <w:t xml:space="preserve">. </w:t>
      </w:r>
    </w:p>
    <w:p>
      <w:pPr>
        <w:pStyle w:val="TextBody"/>
        <w:bidi w:val="0"/>
        <w:spacing w:lineRule="auto" w:line="288" w:before="0" w:after="0"/>
        <w:jc w:val="both"/>
        <w:rPr/>
      </w:pPr>
      <w:r>
        <w:rPr>
          <w:rFonts w:ascii="Times New Roman;sans-serif" w:hAnsi="Times New Roman;sans-serif"/>
          <w:b w:val="false"/>
          <w:i/>
          <w:color w:val="000000"/>
          <w:sz w:val="20"/>
        </w:rPr>
        <w:t>Impairment of Long-lived Asse</w:t>
      </w:r>
      <w:r>
        <w:rPr>
          <w:rFonts w:ascii="Times New Roman;sans-serif" w:hAnsi="Times New Roman;sans-serif"/>
          <w:b w:val="false"/>
          <w:i/>
          <w:color w:val="000000"/>
          <w:sz w:val="20"/>
          <w:shd w:fill="FFFFFF" w:val="clear"/>
        </w:rPr>
        <w:t xml:space="preserve">ts. </w:t>
      </w:r>
      <w:r>
        <w:rPr>
          <w:rFonts w:ascii="Times New Roman;sans-serif" w:hAnsi="Times New Roman;sans-serif"/>
          <w:b w:val="false"/>
          <w:color w:val="000000"/>
          <w:sz w:val="20"/>
          <w:shd w:fill="FFFFFF" w:val="clear"/>
        </w:rPr>
        <w:t>We impaired sixteen restaurants in 2024 a</w:t>
      </w:r>
      <w:r>
        <w:rPr>
          <w:rFonts w:ascii="Times New Roman;sans-serif" w:hAnsi="Times New Roman;sans-serif"/>
          <w:b w:val="false"/>
          <w:color w:val="000000"/>
          <w:sz w:val="20"/>
        </w:rPr>
        <w:t>nd</w:t>
      </w:r>
      <w:r>
        <w:rPr>
          <w:color w:val="000000"/>
          <w:shd w:fill="FFFFFF" w:val="clear"/>
        </w:rPr>
        <w:t xml:space="preserve"> </w:t>
      </w:r>
      <w:r>
        <w:rPr>
          <w:rFonts w:ascii="Times New Roman;sans-serif" w:hAnsi="Times New Roman;sans-serif"/>
          <w:b w:val="false"/>
          <w:color w:val="000000"/>
          <w:sz w:val="20"/>
          <w:shd w:fill="FFFFFF" w:val="clear"/>
        </w:rPr>
        <w:t xml:space="preserve">two restaurants in 2023. We performed a detailed review of significantly underperforming restaurants in 2024 and based on this review, recorded impairments on certain restaurants that we believed had fair market values below their net book values. </w:t>
      </w:r>
      <w:r>
        <w:rPr>
          <w:rFonts w:ascii="Times New Roman;sans-serif" w:hAnsi="Times New Roman;sans-serif"/>
          <w:b w:val="false"/>
          <w:color w:val="000000"/>
          <w:sz w:val="20"/>
        </w:rPr>
        <w:t>Impairment is based on our cu</w:t>
      </w:r>
      <w:r>
        <w:rPr>
          <w:rFonts w:ascii="Times New Roman;sans-serif" w:hAnsi="Times New Roman;sans-serif"/>
          <w:b w:val="false"/>
          <w:color w:val="000000"/>
          <w:sz w:val="20"/>
          <w:shd w:fill="FFFFFF" w:val="clear"/>
        </w:rPr>
        <w:t>rrent assessment of the expected future cash flows of various restaurants based on recent results and other specific market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Measures We Use to Evaluate Our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evaluate the performance of our business, we utilize a variety of financial and performance measures. These key measures include revenue, comparable restaurant sales, average unit volumes (“AUVs”), EBITDA and adjusted EBITDA. EBITDA and adjusted EBITDA are non-GAAP financial measures.</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includes both restaurant revenue and franchise royalties and fees. Restaurant revenue represents sales of food and beverages in company-owned restaurants. Several factors affect our restaurant revenue in any period, including the number of restaurants in operation and per-restaurant sales.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Seasonal factors cause our revenue to fluctuate from quarter to quarter. Our revenue per restaurant is typically lower in the first and fourth quarters due to reduced winter and holiday traffic and is typically higher in the second and third quarters. As a result of these factors, our quarterly and annual operating results and comparable restaurant sales may fluctuate.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Comparable Restaurant Sales</w:t>
      </w:r>
    </w:p>
    <w:p>
      <w:pPr>
        <w:pStyle w:val="TextBody"/>
        <w:bidi w:val="0"/>
        <w:spacing w:lineRule="auto" w:line="288" w:before="0" w:after="240"/>
        <w:jc w:val="both"/>
        <w:rPr/>
      </w:pPr>
      <w:r>
        <w:rPr>
          <w:rFonts w:ascii="Times New Roman;sans-serif" w:hAnsi="Times New Roman;sans-serif"/>
          <w:b w:val="false"/>
          <w:color w:val="000000"/>
          <w:sz w:val="20"/>
        </w:rPr>
        <w:t>Comparable restaurant sales refer to year-over-year sales comparisons for the comparable restaurant base. We define the comparable restaurant base to include restaurants open for at least 18 full peri</w:t>
      </w:r>
      <w:r>
        <w:rPr>
          <w:rFonts w:ascii="Times New Roman;sans-serif" w:hAnsi="Times New Roman;sans-serif"/>
          <w:b w:val="false"/>
          <w:color w:val="000000"/>
          <w:sz w:val="20"/>
          <w:shd w:fill="FFFFFF" w:val="clear"/>
        </w:rPr>
        <w:t xml:space="preserve">ods. As of the end of 2024, 2023 and 2022, there were </w:t>
      </w:r>
      <w:r>
        <w:rPr>
          <w:rFonts w:ascii="Times New Roman;sans-serif" w:hAnsi="Times New Roman;sans-serif"/>
          <w:b w:val="false"/>
          <w:color w:val="000000"/>
          <w:sz w:val="20"/>
        </w:rPr>
        <w:t>350</w:t>
      </w:r>
      <w:r>
        <w:rPr>
          <w:rFonts w:ascii="Times New Roman;sans-serif" w:hAnsi="Times New Roman;sans-serif"/>
          <w:b w:val="false"/>
          <w:color w:val="000000"/>
          <w:sz w:val="20"/>
          <w:shd w:fill="FFFFFF" w:val="clear"/>
        </w:rPr>
        <w:t>, 355 and 347 restaurants, re</w:t>
      </w:r>
      <w:r>
        <w:rPr>
          <w:rFonts w:ascii="Times New Roman;sans-serif" w:hAnsi="Times New Roman;sans-serif"/>
          <w:b w:val="false"/>
          <w:color w:val="000000"/>
          <w:sz w:val="20"/>
        </w:rPr>
        <w:t>spectiv</w:t>
      </w:r>
      <w:r>
        <w:rPr>
          <w:rFonts w:ascii="Times New Roman;sans-serif" w:hAnsi="Times New Roman;sans-serif"/>
          <w:b w:val="false"/>
          <w:color w:val="000000"/>
          <w:sz w:val="20"/>
          <w:shd w:fill="FFFFFF" w:val="clear"/>
        </w:rPr>
        <w:t xml:space="preserve">ely, in our comparable restaurant base for company-owned locations. This measure highlights performance of existing restaurants, as the impact of new restaurant openings is excluded. Changes in </w:t>
      </w:r>
      <w:r>
        <w:rPr>
          <w:rFonts w:ascii="Times New Roman;sans-serif" w:hAnsi="Times New Roman;sans-serif"/>
          <w:b w:val="false"/>
          <w:color w:val="000000"/>
          <w:sz w:val="20"/>
        </w:rPr>
        <w:t>comparable restaurant sales are generated by changes in traffic, which we calculate as the number of entrées sold, and changes in per-person spend, calculated as sales divided by traffic. Per-person spend can be influenced by changes in menu prices and the mix and number of items sold per person.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Measuring our comparable restaurant sales allows us to evaluate the performance of our existing restaurant base. Various factors impact comparable restaurant sales, including, but not limited to:</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consumer recognition of our brand and our ability to respond to changing consumer preferences;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overall economic trends, particularly those related to consumer spending;</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our ability to operate restaurants effectively and efficiently to meet consumer expectations;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pricing;</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the number of restaurant transactions, per-person spend and average check amount;</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marketing and promotional efforts;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abnormal weather patterns;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food safety and foodborne illness concerns;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 xml:space="preserve">the impact of health pandemics;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local and national competition;</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trade area dynamics;</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introduction of new and seasonal menu items and limited time offerings; and</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opening and closing restaurants in the vicinity of other restaurant locations.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common industry practice, we present comparable restaurant sales on a calendar-adjusted basis that aligns current year sales weeks with comparable periods in the prior year, regardless of whether they belong to the same fiscal period or not. Since opening new company-owned and franchise restaurants is a part of our long-term growth strategy and we anticipate new restaurants will be a component of our long-term revenue growth, comparable restaurant sales is only one measure of how we evaluate our performance.</w:t>
      </w:r>
    </w:p>
    <w:p>
      <w:pPr>
        <w:pStyle w:val="TextBody"/>
        <w:bidi w:val="0"/>
        <w:spacing w:lineRule="auto" w:line="288" w:before="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Average Unit Volumes </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AUVs consist of the average annualized sales of all company-owned restaurants for a given time period. AUVs are calculated by dividing restaurant revenue by the number of operating days within each time period and multiplying by the number of operating days we have in a typical year. Based on this calculation, temporarily closed restaurants are excluded from the definition of AUV, however restaurants with temporarily reduced operating hours are included. This measurement allows management to assess changes in consumer traffic and per-person spending patterns at our restaurants. In addition to the factors that impact comparable restaurant sales, AUVs can be further impacted by effective real estate site selection and maturity and trends within new markets.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lineRule="auto" w:line="288" w:before="0" w:after="240"/>
        <w:jc w:val="both"/>
        <w:rPr/>
      </w:pPr>
      <w:r>
        <w:rPr>
          <w:rFonts w:ascii="Times New Roman;sans-serif" w:hAnsi="Times New Roman;sans-serif"/>
          <w:b w:val="false"/>
          <w:color w:val="000000"/>
          <w:sz w:val="20"/>
        </w:rPr>
        <w:t>We define EBITDA as net income (loss) before net interest expense, provision (benefit) for income taxes and depreciation and amortization. We define adjusted EBITDA as net income (loss) before net interest expense, provision (benefit) for income taxes, depreciation and amortizatio</w:t>
      </w:r>
      <w:r>
        <w:rPr>
          <w:rFonts w:ascii="Times New Roman;sans-serif" w:hAnsi="Times New Roman;sans-serif"/>
          <w:b w:val="false"/>
          <w:color w:val="000000"/>
          <w:sz w:val="20"/>
          <w:shd w:fill="FFFFFF" w:val="clear"/>
        </w:rPr>
        <w:t>n, restaurant impairments, loss on disposal of assets, net lease exit costs (benefits), gain (loss) on sale of restaurants, severance and executive transition costs and stoc</w:t>
      </w:r>
      <w:r>
        <w:rPr>
          <w:rFonts w:ascii="Times New Roman;sans-serif" w:hAnsi="Times New Roman;sans-serif"/>
          <w:b w:val="false"/>
          <w:color w:val="000000"/>
          <w:sz w:val="20"/>
        </w:rPr>
        <w:t xml:space="preserve">k-based compensation.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EBITDA and adjusted EBITDA provide clear pictures of our operating results by eliminating certain non-recurring and non-cash expenses that may vary widely from period to period and are not reflective of the underlying business performance.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EBITDA and adjusted EBITDA, which may not be comparable to similarly titled financial measures used by other companies, is not intended to be considered in isolation or as a substitute for, or to be superior to, the financial information 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pPr>
      <w:r>
        <w:rPr>
          <w:rFonts w:ascii="Times New Roman;sans-serif" w:hAnsi="Times New Roman;sans-serif"/>
          <w:b w:val="false"/>
          <w:color w:val="000000"/>
          <w:sz w:val="20"/>
        </w:rPr>
        <w:t>The following table presents a reconciliatio</w:t>
      </w:r>
      <w:r>
        <w:rPr>
          <w:rFonts w:ascii="Times New Roman;sans-serif" w:hAnsi="Times New Roman;sans-serif"/>
          <w:b w:val="false"/>
          <w:color w:val="000000"/>
          <w:sz w:val="20"/>
          <w:shd w:fill="FFFFFF" w:val="clear"/>
        </w:rPr>
        <w:t>n of net loss to EBIT</w:t>
      </w:r>
      <w:r>
        <w:rPr>
          <w:rFonts w:ascii="Times New Roman;sans-serif" w:hAnsi="Times New Roman;sans-serif"/>
          <w:b w:val="false"/>
          <w:color w:val="000000"/>
          <w:sz w:val="20"/>
        </w:rPr>
        <w:t>DA and adjusted EBITDA:</w:t>
      </w:r>
    </w:p>
    <w:tbl>
      <w:tblPr>
        <w:tblW w:w="6260" w:type="dxa"/>
        <w:jc w:val="left"/>
        <w:tblInd w:w="0" w:type="dxa"/>
        <w:tblLayout w:type="fixed"/>
        <w:tblCellMar>
          <w:top w:w="28" w:type="dxa"/>
          <w:left w:w="28" w:type="dxa"/>
          <w:bottom w:w="28" w:type="dxa"/>
          <w:right w:w="28" w:type="dxa"/>
        </w:tblCellMar>
      </w:tblPr>
      <w:tblGrid>
        <w:gridCol w:w="1232"/>
        <w:gridCol w:w="1076"/>
        <w:gridCol w:w="1096"/>
        <w:gridCol w:w="109"/>
        <w:gridCol w:w="109"/>
        <w:gridCol w:w="109"/>
        <w:gridCol w:w="211"/>
        <w:gridCol w:w="796"/>
        <w:gridCol w:w="109"/>
        <w:gridCol w:w="109"/>
        <w:gridCol w:w="109"/>
        <w:gridCol w:w="109"/>
        <w:gridCol w:w="211"/>
        <w:gridCol w:w="72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Restaurant impairments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exit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_____________</w:t>
      </w:r>
    </w:p>
    <w:p>
      <w:pPr>
        <w:pStyle w:val="TextBody"/>
        <w:bidi w:val="0"/>
        <w:spacing w:lineRule="auto" w:line="288" w:before="0" w:after="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 Restaurant impairments in all periods presented above include amounts related to restaurants previously impaired. See Note 6, Restaurant Impairments, Closure Costs and Asset Disposals.</w:t>
      </w:r>
    </w:p>
    <w:p>
      <w:pPr>
        <w:pStyle w:val="TextBody"/>
        <w:bidi w:val="0"/>
        <w:spacing w:before="0" w:after="60"/>
        <w:ind w:left="0" w:right="0" w:hanging="360"/>
        <w:jc w:val="both"/>
        <w:rPr/>
      </w:pPr>
      <w:r>
        <w:rPr/>
      </w:r>
    </w:p>
    <w:p>
      <w:pPr>
        <w:pStyle w:val="TextBody"/>
        <w:bidi w:val="0"/>
        <w:spacing w:lineRule="auto" w:line="288" w:before="60" w:after="240"/>
        <w:jc w:val="both"/>
        <w:rPr>
          <w:rFonts w:ascii="Times New Roman;sans-serif" w:hAnsi="Times New Roman;sans-serif"/>
          <w:b/>
          <w:color w:val="000000"/>
          <w:sz w:val="20"/>
        </w:rPr>
      </w:pPr>
      <w:r>
        <w:rPr>
          <w:rFonts w:ascii="Times New Roman;sans-serif" w:hAnsi="Times New Roman;sans-serif"/>
          <w:b/>
          <w:color w:val="000000"/>
          <w:sz w:val="20"/>
        </w:rPr>
        <w:t>Key Financial Definitions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includes the direct costs associated with the food, beverage and packaging of our menu items. Cost of sales also includes any costs related to discounted menu items. Cost of sales is a substantial expense and can be expected to change proportionally as our restaurant revenue changes. Fluctuations in cost of sales are caused primarily by volatility in the cost of commodity food items and related contracts for such items. Other important factors causing fluctuations in cost of sales include seasonality, discounting activity, distribution costs and restaurant level management of food waste.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Labor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Labor costs include wages, payroll taxes, workers’ compensation expense, benefits and incentives paid to our restaurant teams. Similar to certain other expense items, we expect hourly labor costs to change proportionally as our restaurant revenue changes. Factors that influence fluctuations in our labor costs include minimum wage and payroll tax legislation, wage inflation, the frequency and severity of workers’ compensation claims, health care costs and the performance of our restaurants.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Occupancy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Occupancy costs include rent, common area maintenance charges and real estate tax expense related to our restaurants and are expected to grow proportionally as we open new restaurants.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Restaurant Operating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restaurant operating costs include the costs of repairs and maintenance, utilities, restaurant-level marketing, credit card processing fees, third-party delivery fees, restaurant supplies and other restaurant operating costs. Similar to certain other costs, they are expected to grow proportionally as restaurant revenue grows.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is composed of payroll, other compensation, travel, marketing, accounting and legal fees, insurance and other expenses related to the infrastructure required to support our restaurants. General and administrative expense also includes the non-cash stock compensation expense related to our stock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depreciation and amortization charges relate to depreciation of long-lived assets, such as property, equipment and leasehold improvements, from restaurant construction and ongoing maintenance.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Pre-Opening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costs relate to the costs incurred prior to the opening of a restaurant. These include management labor costs, staff labor costs during training, food and supplies utilized during training, marketing costs and other pre-opening related costs. Pre-opening costs also include rent recorded between the date of possession and the opening date for our restaurants.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Restaurant Impairments, Closure Costs and Asset Disposals</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impairments, closure costs and asset disposals include the net gain or loss on disposal of long-lived assets related to retirements and replacement of equipment or leasehold improvements, lease expenses that the Company is still obligated for, refranchising gains or losses, gains or losses on lease terminations, other restaurant closure costs and impairment charges. Each quarter we evaluate possible impairment of property and equipment at the restaurant level and record an impairment loss whenever we determine that the fair value of these assets is less than their carrying value. There can be no assurance that such evaluations will not result in additional impairment costs in future periods.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interest on our outstanding indebtedness and amortization of debt issuance costs over the life of the related debt reduced by capitalized interest.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of federal, state and local taxes on our income.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Restaurant Openings, Closures and Relocations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restaurants opened or closed in the years indicated:</w:t>
      </w:r>
    </w:p>
    <w:tbl>
      <w:tblPr>
        <w:tblW w:w="4801" w:type="dxa"/>
        <w:jc w:val="left"/>
        <w:tblInd w:w="0" w:type="dxa"/>
        <w:tblLayout w:type="fixed"/>
        <w:tblCellMar>
          <w:top w:w="28" w:type="dxa"/>
          <w:left w:w="28" w:type="dxa"/>
          <w:bottom w:w="28" w:type="dxa"/>
          <w:right w:w="28" w:type="dxa"/>
        </w:tblCellMar>
      </w:tblPr>
      <w:tblGrid>
        <w:gridCol w:w="956"/>
        <w:gridCol w:w="841"/>
        <w:gridCol w:w="843"/>
        <w:gridCol w:w="109"/>
        <w:gridCol w:w="109"/>
        <w:gridCol w:w="109"/>
        <w:gridCol w:w="233"/>
        <w:gridCol w:w="233"/>
        <w:gridCol w:w="156"/>
        <w:gridCol w:w="109"/>
        <w:gridCol w:w="109"/>
        <w:gridCol w:w="109"/>
        <w:gridCol w:w="233"/>
        <w:gridCol w:w="233"/>
        <w:gridCol w:w="156"/>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Company-Owned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Divestitures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Franchise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Closures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ans-serif" w:hAnsi="Times New Roman;sans-serif"/>
          <w:b w:val="false"/>
          <w:color w:val="000000"/>
          <w:sz w:val="16"/>
        </w:rPr>
        <w:t>__</w:t>
      </w:r>
      <w:r>
        <w:rPr>
          <w:rFonts w:ascii="Times New Roman;sans-serif" w:hAnsi="Times New Roman;sans-serif"/>
          <w:b w:val="false"/>
          <w:color w:val="000000"/>
          <w:sz w:val="16"/>
          <w:shd w:fill="FFFFFF" w:val="clear"/>
        </w:rPr>
        <w:t>___________________________</w:t>
      </w:r>
    </w:p>
    <w:p>
      <w:pPr>
        <w:pStyle w:val="TextBody"/>
        <w:bidi w:val="0"/>
        <w:spacing w:lineRule="auto" w:line="288" w:before="0" w:after="0"/>
        <w:ind w:left="0" w:right="0" w:hanging="72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 xml:space="preserve">(1)During 2024, we sold six company-owned restaurants to a franchisee.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 as a percentage of our total revenue, except for the components of restaurant operating costs, which are expressed as a percentage of restaurant revenue.</w:t>
      </w:r>
    </w:p>
    <w:tbl>
      <w:tblPr>
        <w:tblW w:w="10205" w:type="dxa"/>
        <w:jc w:val="left"/>
        <w:tblInd w:w="0" w:type="dxa"/>
        <w:tblLayout w:type="fixed"/>
        <w:tblCellMar>
          <w:top w:w="28" w:type="dxa"/>
          <w:left w:w="28" w:type="dxa"/>
          <w:bottom w:w="28" w:type="dxa"/>
          <w:right w:w="28" w:type="dxa"/>
        </w:tblCellMar>
      </w:tblPr>
      <w:tblGrid>
        <w:gridCol w:w="2733"/>
        <w:gridCol w:w="2383"/>
        <w:gridCol w:w="2396"/>
        <w:gridCol w:w="109"/>
        <w:gridCol w:w="109"/>
        <w:gridCol w:w="109"/>
        <w:gridCol w:w="307"/>
        <w:gridCol w:w="309"/>
        <w:gridCol w:w="271"/>
        <w:gridCol w:w="109"/>
        <w:gridCol w:w="109"/>
        <w:gridCol w:w="109"/>
        <w:gridCol w:w="307"/>
        <w:gridCol w:w="309"/>
        <w:gridCol w:w="271"/>
        <w:gridCol w:w="109"/>
        <w:gridCol w:w="156"/>
      </w:tblGrid>
      <w:tr>
        <w:trPr/>
        <w:tc>
          <w:tcPr>
            <w:tcW w:w="2733"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5" w:type="dxa"/>
            <w:gridSpan w:val="2"/>
            <w:tcBorders/>
          </w:tcPr>
          <w:p>
            <w:pPr>
              <w:pStyle w:val="TableContents"/>
              <w:bidi w:val="0"/>
              <w:spacing w:before="0" w:after="283"/>
              <w:jc w:val="left"/>
              <w:rPr>
                <w:sz w:val="4"/>
                <w:szCs w:val="4"/>
              </w:rPr>
            </w:pPr>
            <w:r>
              <w:rPr>
                <w:sz w:val="4"/>
                <w:szCs w:val="4"/>
              </w:rPr>
            </w:r>
          </w:p>
        </w:tc>
      </w:tr>
      <w:tr>
        <w:trPr/>
        <w:tc>
          <w:tcPr>
            <w:tcW w:w="7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Restaurant operating costs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TextBody"/>
        <w:bidi w:val="0"/>
        <w:spacing w:before="0" w:after="0"/>
        <w:jc w:val="left"/>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Fiscal Year 2024 compared to Fiscal Year 2023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our operating results for 2024 and 2023, and the related year-over-year changes:</w:t>
      </w:r>
    </w:p>
    <w:tbl>
      <w:tblPr>
        <w:tblW w:w="10205" w:type="dxa"/>
        <w:jc w:val="left"/>
        <w:tblInd w:w="0" w:type="dxa"/>
        <w:tblLayout w:type="fixed"/>
        <w:tblCellMar>
          <w:top w:w="28" w:type="dxa"/>
          <w:left w:w="28" w:type="dxa"/>
          <w:bottom w:w="28" w:type="dxa"/>
          <w:right w:w="28" w:type="dxa"/>
        </w:tblCellMar>
      </w:tblPr>
      <w:tblGrid>
        <w:gridCol w:w="1725"/>
        <w:gridCol w:w="1247"/>
        <w:gridCol w:w="1254"/>
        <w:gridCol w:w="109"/>
        <w:gridCol w:w="109"/>
        <w:gridCol w:w="109"/>
        <w:gridCol w:w="211"/>
        <w:gridCol w:w="826"/>
        <w:gridCol w:w="271"/>
        <w:gridCol w:w="109"/>
        <w:gridCol w:w="109"/>
        <w:gridCol w:w="109"/>
        <w:gridCol w:w="211"/>
        <w:gridCol w:w="826"/>
        <w:gridCol w:w="271"/>
        <w:gridCol w:w="109"/>
        <w:gridCol w:w="109"/>
        <w:gridCol w:w="109"/>
        <w:gridCol w:w="211"/>
        <w:gridCol w:w="761"/>
        <w:gridCol w:w="109"/>
        <w:gridCol w:w="109"/>
        <w:gridCol w:w="109"/>
        <w:gridCol w:w="109"/>
        <w:gridCol w:w="325"/>
        <w:gridCol w:w="330"/>
        <w:gridCol w:w="319"/>
      </w:tblGrid>
      <w:tr>
        <w:trPr/>
        <w:tc>
          <w:tcPr>
            <w:tcW w:w="17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Restaurant operating costs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unit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6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Not meaningful.</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revenue decreased by $10.1 million, or 2.0%, in 2024 compared to 2023. This decrease was primarily due to: $8.3 million from a decline in company same store sales, $7.1 million due to refranchising and $6.7 million due to permanent restaurant closures, partially offset by $12.0 million from growth in new restaurant revenue.</w:t>
      </w:r>
    </w:p>
    <w:p>
      <w:pPr>
        <w:pStyle w:val="TextBody"/>
        <w:bidi w:val="0"/>
        <w:spacing w:lineRule="auto" w:line="288" w:before="16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Average unit volumes decreased 3.0% to $1.29 million in 2024 compared to $1.33 million in 2023 primarily due to decreases in traffic. System-wide comparable restaurant sales decreased 1.5% in 2024, comprised of a 1.8% decrease at company-owned restaurants and a 0.2% decrease at franchise-owned restaurants.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sales decreased by $0.4 million, or 0.3%, in 2024 compared to 2023. As a percentage of restaurant revenue, cost of sales increased to 25.6% in 2024 from 25.2% in 2023, primarily due to a 0.8% impact from a combination of menu mix shifts and inflation, partially offset by a 0.4% benefit from menu price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Labor Costs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Labor costs decreased by $3.4 million, or 2.1%, in 2024 compared to 2023. As a percentage of restaurant revenue, labor costs decreased to 31.9% in 2024 compared to 32.0% in 2023, primarily due to a 0.5% benefit from menu price increases, a 0.5% benefit from labor efficiencies and a 0.5% benefit from a combination of lower incentive pay and benefits, partially offset by increases of 0.8% from traffic deleverage and 0.6% from wage inflation.</w:t>
      </w:r>
    </w:p>
    <w:p>
      <w:pPr>
        <w:pStyle w:val="TextBody"/>
        <w:bidi w:val="0"/>
        <w:spacing w:lineRule="auto" w:line="288" w:before="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Occupancy Costs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Occupancy costs increased by $0.4 million, or 1.0%, in 2024 compared to 2023, due primarily to new restaurant openings. As a percentage of restaurant revenue, occupancy costs increased to 9.6% in 2024 from 9.3% in 2023, due primarily to a decrease in restaurant revenue. </w:t>
      </w:r>
    </w:p>
    <w:p>
      <w:pPr>
        <w:pStyle w:val="TextBody"/>
        <w:bidi w:val="0"/>
        <w:spacing w:lineRule="auto" w:line="288" w:before="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Restaurant Operating Costs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restaurant operating costs increased by $3.5 million, or 3.8%, in 2024 compared to 2023. As a percentage of restaurant revenue, other restaurant operating costs increased to 19.7% in 2024 from 18.6% in 2023, primarily due to a 0.5% impact from higher delivery fees driven by higher delivery sales, a 0.4% impact from sales deleverage, and a 0.3% impact from increased marketing spend in 2024.</w:t>
      </w:r>
    </w:p>
    <w:p>
      <w:pPr>
        <w:pStyle w:val="TextBody"/>
        <w:bidi w:val="0"/>
        <w:spacing w:lineRule="auto" w:line="288" w:before="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General and Administrative Expense</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decreased by $1.0 million, or 1.9%, in 2024 compared to 2023, due primarily to decreases in wages and labor expenses of $1.5 million partially offset by increases in marketing spend and expenses related to our bi-annual manager conference. As a percentage of revenue, general and administrative expense remained flat at 10.3% in 2024 and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Depreciation and amortization increased by $2.3 million, or 8.5%, in 2024 compared to 2023, due primarily to new restaurant and technology investments, partially offset by restaurants impaired or closed. As a percentage of revenue, depreciation and amortization increased to 5.9% in 2024 compared to 5.3% in 2023.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Pre-Opening Costs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Pre-opening costs decreased $0.7 million in 2024 compared to 2023 due to less new restaurant openings in 2024 compared to 2023.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Restaurant Impairments, Closure Costs and Asset Disposals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Restaurant impairments, closure costs and asset disposals increased by $11.9 million, or 141.3%, in 2024 compared to 2023. The increase was largely due to an increase in write-downs of lease related assets and fixed asset impairment charges with sixteen restaurants impaired in 2024 compared to two restaurants impaired in 2023. We performed a detailed review of significantly underperforming restaurants in 2024 and based on this review, recorded impairments on certain restaurants that we believed had fair market values below their net book values. Both years include ongoing equipment costs for restaurants previously impaired and lease related costs and expenses in connection with the divestiture of company-owned restaurants in previous years.</w:t>
      </w:r>
    </w:p>
    <w:p>
      <w:pPr>
        <w:pStyle w:val="TextBody"/>
        <w:bidi w:val="0"/>
        <w:spacing w:lineRule="auto" w:line="288" w:before="160" w:after="24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jc w:val="both"/>
        <w:rPr/>
      </w:pPr>
      <w:r>
        <w:rPr>
          <w:rFonts w:ascii="Times New Roman;sans-serif" w:hAnsi="Times New Roman;sans-serif"/>
          <w:b w:val="false"/>
          <w:color w:val="000000"/>
          <w:sz w:val="20"/>
        </w:rPr>
        <w:t>Interest expense increased by $3.6 million, or 74.5% in 2024 c</w:t>
      </w:r>
      <w:r>
        <w:rPr>
          <w:rFonts w:ascii="Times New Roman;sans-serif" w:hAnsi="Times New Roman;sans-serif"/>
          <w:b w:val="false"/>
          <w:color w:val="000000"/>
          <w:sz w:val="20"/>
          <w:shd w:fill="FFFFFF" w:val="clear"/>
        </w:rPr>
        <w:t>ompared to 2023. The increase was mainly due to higher average borrowings and a higher average interest rate in 2024 compared to 2023. Interest rates for all amounts outstanding are variable.</w:t>
      </w:r>
    </w:p>
    <w:p>
      <w:pPr>
        <w:pStyle w:val="TextBody"/>
        <w:bidi w:val="0"/>
        <w:spacing w:lineRule="auto" w:line="288" w:before="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 for Income Taxes</w:t>
      </w:r>
    </w:p>
    <w:p>
      <w:pPr>
        <w:pStyle w:val="TextBody"/>
        <w:bidi w:val="0"/>
        <w:spacing w:lineRule="auto" w:line="288" w:before="100" w:after="180"/>
        <w:jc w:val="both"/>
        <w:rPr/>
      </w:pPr>
      <w:r>
        <w:rPr>
          <w:rFonts w:ascii="Times New Roman;sans-serif" w:hAnsi="Times New Roman;sans-serif"/>
          <w:b w:val="false"/>
          <w:color w:val="000000"/>
          <w:sz w:val="20"/>
          <w:shd w:fill="FFFFFF" w:val="clear"/>
        </w:rPr>
        <w:t>The effective tax rate was (0.1)% in 2024 compared to (0.2)% in 2023. W</w:t>
      </w:r>
      <w:r>
        <w:rPr>
          <w:rFonts w:ascii="Times New Roman;sans-serif" w:hAnsi="Times New Roman;sans-serif"/>
          <w:b w:val="false"/>
          <w:color w:val="000000"/>
          <w:sz w:val="20"/>
        </w:rPr>
        <w:t>e will continue to maintain a valuation allowance against deferred tax assets until there is sufficient evidence to support a full or partial reversal. The reversal of a previously recorded valuation allowance will generally result in a benefit from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417"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pPr>
      <w:r>
        <w:rPr>
          <w:rFonts w:ascii="Times New Roman;sans-serif" w:hAnsi="Times New Roman;sans-serif"/>
          <w:b w:val="false"/>
          <w:color w:val="000000"/>
          <w:sz w:val="20"/>
        </w:rPr>
        <w:t xml:space="preserve">As of December 31, 2024, our available cash and cash equivalents balance was $1.1 million, and $19.0 million was available for future borrowings under </w:t>
      </w:r>
      <w:r>
        <w:rPr>
          <w:rFonts w:ascii="Times New Roman;sans-serif" w:hAnsi="Times New Roman;sans-serif"/>
          <w:b w:val="false"/>
          <w:color w:val="000000"/>
          <w:sz w:val="20"/>
          <w:shd w:fill="FFFFFF" w:val="clear"/>
        </w:rPr>
        <w:t>our A&amp;R Credit Agreement (defined below).</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9, 2018, we entered into a Credit Agreement (the “Credit Agreement”) with each other Loan Party (as defined in the Credit Agreement) party thereto, each lender from time to time party thereto, and U.S. Bank National Association, as Administrative Agent, L/C Issuer and Swing Line Lender (each as defined in the Credit Agreement). The Credit Agreement consisted of a term loan facility in an aggregate principal amount of $25.0 million and a revolving line of credit of $65.0 million, which included a letter of credit subfacility in the amount of $15.0 million and a swingline subfacility in the amount of $10.0 million. The Credit Agreement was subsequently amended on November 20, 2019 and June 16, 2020. On July 27, 2022, we amended and restated our Credit Agreement by entering into the Amended and Restated Credit Agreement (as further amended, restated, extended, supplemented, modified and otherwise in effect from time to time, the “A&amp;R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 (i) increased the credit facility from $100.0 million to $125.0 million and (ii) eliminated the term loan and principal amortization components of the credit facility. The A&amp;R Credit Agreement was subsequently amended on December 21, 2023.</w:t>
      </w:r>
    </w:p>
    <w:p>
      <w:pPr>
        <w:pStyle w:val="TextBody"/>
        <w:bidi w:val="0"/>
        <w:spacing w:lineRule="auto" w:line="288" w:before="160" w:after="10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2024, the Company amended its A&amp;R Credit Agreement, by entering into that certain Second Amendment to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(x) 5.50 to 1.00 for the fiscal quarter ending on October 1, 2024 until and including the last day of the fiscal quarter ending September 30, 2025 and (y) stepping down to (1) 5.25 to 1.00 per annum for the fiscal quarter ending December 30, 2025, (2) 5.00 to 1.00 per annum for the fiscal quarters ending March 31, 2026 and June 30, 2026, (3) 4.75 to 1.00 for the fiscal quarters ending September 29, 2026 and December 29, 2026 and (4) 4.50 to 1.00 per annum for the fiscal quarter ended March 30, 2027 and thereafter and (v) amended the Consolidated Fixed Charge Coverage Ratio (as defined in the A&amp;R Credit Agreement) in Section 7.11(b) of the A&amp;R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pStyle w:val="TextBody"/>
        <w:bidi w:val="0"/>
        <w:spacing w:lineRule="auto" w:line="288" w:before="24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2024, we had $103.0 million of indebtedness (excluding $2.3 million of unamortized debt issuance costs) and $3.0 million of letters of credit outstanding under the A&amp;R Credit Agreement. </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Availability of borrowings under the A&amp;R Credit Agreement is conditioned upon our compliance with the terms of the A&amp;R Credit Agreement, including the financial covenants and other customary affirmative and negative covenants, such as limitations on additional borrowings, acquisitions, dividend payments and lease commitments, and customary representations and warranties. As of December 31, 2024, we were in compliance with all of our debt covenants.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expect that we will meet all applicable financial covenants in our A&amp;R Credit Agreement through at least the next four fiscal quarters. However, there can be no assurance we will meet such financial covenants. If such covenants are not met, we would be required to seek a waiver or amendment from the banks participating in the credit facility. There can be no assurance that such waiver or amendment would be granted, which could have a material adverse impact on our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Flow Analysis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investing and financing activities are shown in the following table:</w:t>
      </w:r>
    </w:p>
    <w:tbl>
      <w:tblPr>
        <w:tblW w:w="7372" w:type="dxa"/>
        <w:jc w:val="left"/>
        <w:tblInd w:w="0" w:type="dxa"/>
        <w:tblLayout w:type="fixed"/>
        <w:tblCellMar>
          <w:top w:w="28" w:type="dxa"/>
          <w:left w:w="28" w:type="dxa"/>
          <w:bottom w:w="28" w:type="dxa"/>
          <w:right w:w="28" w:type="dxa"/>
        </w:tblCellMar>
      </w:tblPr>
      <w:tblGrid>
        <w:gridCol w:w="1563"/>
        <w:gridCol w:w="1376"/>
        <w:gridCol w:w="1380"/>
        <w:gridCol w:w="109"/>
        <w:gridCol w:w="109"/>
        <w:gridCol w:w="109"/>
        <w:gridCol w:w="228"/>
        <w:gridCol w:w="749"/>
        <w:gridCol w:w="118"/>
        <w:gridCol w:w="109"/>
        <w:gridCol w:w="109"/>
        <w:gridCol w:w="109"/>
        <w:gridCol w:w="211"/>
        <w:gridCol w:w="721"/>
        <w:gridCol w:w="109"/>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A29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op w:val="single" w:sz="8" w:space="0" w:color="0A29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A2972"/>
              <w:bottom w:val="single" w:sz="8" w:space="0" w:color="0A2972"/>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A29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18"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top w:val="single" w:sz="8" w:space="0" w:color="000000"/>
              <w:bottom w:val="double" w:sz="8" w:space="0" w:color="0A29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provided by operating activities in 2024 was $7.6 million compared to $27.5 million in 2023. The decrease in operating cash flows resulted primarily from a decrease in net income as adjusted for non-cash items including depreciation and impairments, as well as changes in working capital related to payroll timing and normal changes in accounts payable and other accrued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used in investing activities decreased $25.1 million to $26.7 million in 2024 compared to 2023. This decrease was primarily due to decreased investment in new restaurant openings and the completion of installation for our digital menu boards in 2023. We opened ten and eighteen company-owned restaurants in 2024 and 2023, respectively.</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provided by financing activities was $17.3 million in 2024, compared to $25.8 million in 2023. The decrease from 2023 was primarily due to a reduction in net borrowings to fund capital spending in 2024.</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Material Cash Requirements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obligations consist primarily of certain lease and other contractual commitments related to our operations, normal recurring operating expenses, working capital needs, new store development, capital improvements and maintenance of our restaurants, regular interest payments on our debt obligations and certain non-recurring expenditures.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obligations consist primarily of certain lease and other contractual commitments related to our operations and payment of our outstanding debt obligations. In addition, new store development will require capital each year which is expected to be funded by currently available cash and cash equivalents, cash flows from operations and our revolving credit facility.</w:t>
      </w:r>
    </w:p>
    <w:p>
      <w:pPr>
        <w:pStyle w:val="TextBody"/>
        <w:bidi w:val="0"/>
        <w:spacing w:lineRule="auto" w:line="288" w:before="0" w:after="240"/>
        <w:jc w:val="both"/>
        <w:rPr/>
      </w:pPr>
      <w:r>
        <w:rPr>
          <w:rFonts w:ascii="Times New Roman;sans-serif" w:hAnsi="Times New Roman;sans-serif"/>
          <w:b w:val="false"/>
          <w:color w:val="000000"/>
          <w:sz w:val="20"/>
          <w:shd w:fill="FFFFFF" w:val="clear"/>
        </w:rPr>
        <w:t>Our capital expenditure requirements are primarily dependent upon the pace of ou</w:t>
      </w:r>
      <w:r>
        <w:rPr>
          <w:rFonts w:ascii="Times New Roman;sans-serif" w:hAnsi="Times New Roman;sans-serif"/>
          <w:b w:val="false"/>
          <w:color w:val="000000"/>
          <w:sz w:val="20"/>
        </w:rPr>
        <w:t>r real estate development program and resulting new restaurant openings, costs for maintenance and remodeling of our existing restaurants, as well as information technology expenses and other general corporate capital expenditures.</w:t>
      </w:r>
    </w:p>
    <w:p>
      <w:pPr>
        <w:pStyle w:val="TextBody"/>
        <w:bidi w:val="0"/>
        <w:spacing w:lineRule="auto" w:line="288" w:before="0" w:after="240"/>
        <w:jc w:val="both"/>
        <w:rPr/>
      </w:pPr>
      <w:r>
        <w:rPr>
          <w:rFonts w:ascii="Times New Roman;sans-serif" w:hAnsi="Times New Roman;sans-serif"/>
          <w:b w:val="false"/>
          <w:color w:val="000000"/>
          <w:sz w:val="20"/>
        </w:rPr>
        <w:t>Our total capital expenditures for 2024 w</w:t>
      </w:r>
      <w:r>
        <w:rPr>
          <w:rFonts w:ascii="Times New Roman;sans-serif" w:hAnsi="Times New Roman;sans-serif"/>
          <w:b w:val="false"/>
          <w:color w:val="000000"/>
          <w:sz w:val="20"/>
          <w:shd w:fill="FFFFFF" w:val="clear"/>
        </w:rPr>
        <w:t xml:space="preserve">ere $28.8 million, which includes amounts for restaurants that will be opening in 2025. We expect our 2025 capital expenditures to be in the range of $11.0 million to $13.0 million. Our capital expenditures in 2025 are expected to be primarily related to our reinvestment in existing restaurants, the opening of two new restaurants and technology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pPr>
      <w:r>
        <w:rPr>
          <w:rFonts w:ascii="Times New Roman;sans-serif" w:hAnsi="Times New Roman;sans-serif"/>
          <w:b w:val="false"/>
          <w:color w:val="000000"/>
          <w:sz w:val="20"/>
        </w:rPr>
        <w:t xml:space="preserve">Our contractual obligations consist of lease obligations, purchase obligations, long-term debt and other liabilities. </w:t>
      </w:r>
      <w:r>
        <w:rPr>
          <w:rFonts w:ascii="Times New Roman;sans-serif" w:hAnsi="Times New Roman;sans-serif"/>
          <w:b w:val="false"/>
          <w:color w:val="000000"/>
          <w:sz w:val="20"/>
          <w:shd w:fill="FFFFFF" w:val="clear"/>
        </w:rPr>
        <w:t xml:space="preserve">See Note 4 Long-Term Debt and Note 12 Leases to our consolidated financial statements for further discussion. We are obligated under non-cancelable leases for our restaurants, administrative offices and equipment. In addition to those lease obligations, we have legally binding minimum lease payments for leases signed but not yet commenced amounting to $1.1 million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We enter into various purchase obligations in the ordinary course of business. As of December 31, 2024, our binding purchase obligations are approximately </w:t>
      </w:r>
      <w:r>
        <w:rPr>
          <w:rFonts w:ascii="Times New Roman;sans-serif" w:hAnsi="Times New Roman;sans-serif"/>
          <w:b w:val="false"/>
          <w:color w:val="000000"/>
          <w:sz w:val="20"/>
        </w:rPr>
        <w:t>$49.4 million, which includes $29.1 million to be incurred within the next 12 months</w:t>
      </w:r>
      <w:r>
        <w:rPr>
          <w:rFonts w:ascii="Times New Roman;sans-serif" w:hAnsi="Times New Roman;sans-serif"/>
          <w:b w:val="false"/>
          <w:color w:val="000000"/>
          <w:sz w:val="20"/>
          <w:shd w:fill="FFFFFF" w:val="clear"/>
        </w:rPr>
        <w:t>. These amounts relate to volume commitments for beverage and food products, as well as binding commitments for the construction of new restaurants. Our other liabilities of $2.2 million as of December 31, 2024 includes our commitment u</w:t>
      </w:r>
      <w:r>
        <w:rPr>
          <w:rFonts w:ascii="Times New Roman;sans-serif" w:hAnsi="Times New Roman;sans-serif"/>
          <w:b w:val="false"/>
          <w:color w:val="000000"/>
          <w:sz w:val="20"/>
        </w:rPr>
        <w:t xml:space="preserve">nder our non-qualified deferred compensation plan and severance. </w:t>
      </w:r>
    </w:p>
    <w:p>
      <w:pPr>
        <w:pStyle w:val="TextBody"/>
        <w:bidi w:val="0"/>
        <w:spacing w:lineRule="auto" w:line="288" w:before="0" w:after="0"/>
        <w:jc w:val="both"/>
        <w:rPr/>
      </w:pPr>
      <w:r>
        <w:rPr>
          <w:rFonts w:ascii="Times New Roman;sans-serif" w:hAnsi="Times New Roman;sans-serif"/>
          <w:b w:val="false"/>
          <w:color w:val="000000"/>
          <w:sz w:val="20"/>
        </w:rPr>
        <w:t xml:space="preserve">We believe that we have sufficient liquidity to meet our liquidity needs and capital resource requirements for at least the next twelve months primarily through currently available cash and cash equivalents, cash flows from operations, and borrowings under </w:t>
      </w:r>
      <w:r>
        <w:rPr>
          <w:rFonts w:ascii="Times New Roman;sans-serif" w:hAnsi="Times New Roman;sans-serif"/>
          <w:b w:val="false"/>
          <w:color w:val="000000"/>
          <w:sz w:val="20"/>
          <w:shd w:fill="FFFFFF" w:val="clear"/>
        </w:rPr>
        <w:t>the A&amp;R Credit Agreement. Our working capital position benefits from the fact that we generally collect cash from sales to customers the same day, or in the</w:t>
      </w:r>
      <w:r>
        <w:rPr>
          <w:color w:val="000000"/>
        </w:rPr>
        <w:t xml:space="preserve"> </w:t>
      </w:r>
      <w:r>
        <w:rPr>
          <w:rFonts w:ascii="Times New Roman;sans-serif" w:hAnsi="Times New Roman;sans-serif"/>
          <w:b w:val="false"/>
          <w:color w:val="000000"/>
          <w:sz w:val="20"/>
        </w:rPr>
        <w:t xml:space="preserve">case of credit or debit card transactions, within several days of the related sale, and we typically have up to 30 days to pay our vendors. In addition, we receive trade credit for the purchase of food, beverages and supplies, therefore reducing the need for incremental working capital to support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1 Business and Summary of Significant Accounting Policies, to our consolidated financial statements.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We believe the critical accounting policies described below affect our more significant judgments and estimates used in the preparation of our consolidated financial statements.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240"/>
        <w:jc w:val="both"/>
        <w:rPr/>
      </w:pPr>
      <w:r>
        <w:rPr>
          <w:rFonts w:ascii="Times New Roman;sans-serif" w:hAnsi="Times New Roman;sans-serif"/>
          <w:b w:val="false"/>
          <w:color w:val="000000"/>
          <w:sz w:val="20"/>
        </w:rPr>
        <w:t xml:space="preserve">We review long-lived assets, such as property and equipment, right of use assets and intangibles, subject to amortization, for impairment when events or circumstances indicate the carrying value of the assets may not be recoverable. In determining the recoverability of the asset value, an analysis is performed at the individual restaurant level and primarily includes an assessment of historical cash flows and other relevant factors and circumstances. The other factors and circumstances include changes in the economic environment, changes in the manner in which assets are used, unfavorable changes in legal factors or business climate, incurring excess costs in construction of the asset, overall restaurant operating performance and projections for future performance. These estimates result in a wide range of variability on a year to year basis due to the nature of the criteria. </w:t>
      </w:r>
      <w:r>
        <w:rPr>
          <w:rFonts w:ascii="Times New Roman;sans-serif" w:hAnsi="Times New Roman;sans-serif"/>
          <w:b w:val="false"/>
          <w:color w:val="000000"/>
          <w:sz w:val="20"/>
          <w:shd w:fill="FFFFFF" w:val="clear"/>
        </w:rPr>
        <w:t>Restaurant-level cash flow less than our internal threshold over the previous 12 periods is considered an indicator of potential impairment. In</w:t>
      </w:r>
      <w:r>
        <w:rPr>
          <w:color w:val="000000"/>
        </w:rPr>
        <w:t xml:space="preserve"> </w:t>
      </w:r>
      <w:r>
        <w:rPr>
          <w:rFonts w:ascii="Times New Roman;sans-serif" w:hAnsi="Times New Roman;sans-serif"/>
          <w:b w:val="false"/>
          <w:color w:val="000000"/>
          <w:sz w:val="20"/>
        </w:rPr>
        <w:t>such situations, we evaluate future undiscounted cash flow projections in conjunction with qualitative factors and future operating plans. Our impairment assessment process requires the use of estimates and assumptions regarding the future undiscounted cash flows and operating outcomes, which are based upon a significant degree of management’s judgment.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our impairment testing, we forecast our future undiscounted cash flows by looking at recent restaurant level performance, restaurant level operating plans, sales trends and cost trends for cost of sales, labor and operating expenses. We believe that this combination of information gives us a fair benchmark to estimate future undiscounted cash flows. We compare this cash flow forecast, excluding occupancy rent expense, to the asset’s carrying value, excluding lease liability, at the restaurant. Based on this analysis, if the carrying amount of the assets is greater than the estimated future undiscounted cash flows, an impairment charge is recognized, measured as the amount by which the carrying amount exceeds the fair value of the asset. If these projections are not achieved, we could realize future impairments.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240"/>
        <w:jc w:val="both"/>
        <w:rPr/>
      </w:pPr>
      <w:r>
        <w:rPr>
          <w:rFonts w:ascii="Times New Roman;sans-serif" w:hAnsi="Times New Roman;sans-serif"/>
          <w:b w:val="false"/>
          <w:color w:val="000000"/>
          <w:sz w:val="20"/>
        </w:rPr>
        <w:t>We lease all restaurant facilities, office space and certain equipment. Pursuant to FASB Accounting Standards Codification (“ASC”) Topic 842, all operating and finance lease assets and liabilities are recognized</w:t>
      </w:r>
      <w:r>
        <w:rPr>
          <w:color w:val="000000"/>
          <w:shd w:fill="FFFFFF" w:val="clear"/>
        </w:rPr>
        <w:t xml:space="preserve"> </w:t>
      </w:r>
      <w:r>
        <w:rPr>
          <w:rFonts w:ascii="Times New Roman;sans-serif" w:hAnsi="Times New Roman;sans-serif"/>
          <w:b w:val="false"/>
          <w:color w:val="000000"/>
          <w:sz w:val="20"/>
          <w:shd w:fill="FFFFFF" w:val="clear"/>
        </w:rPr>
        <w:t>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Right of use (“ROU”) assets represent our right to use an underlying asset for the lease term and lease liabilities represent our obligation to make future lease payments arising from the lease. Operating lease ROU assets and liabilities are recorded at commencement date based on the present value of lease payments over the lease term, which includes options to extend lease terms that are reasonably certain of being exercised. To determine the present value of lease payments not yet paid, we estimate incremental borrowing rates corresponding to the reasonably certain lease term. As most of our leases do not provide an implicit rate, we use the incremental borrowing rate based on information available at commencement date in determining the present value of lease payments. Leases with an initial term of 12 months or less are not recorded on the Consolidated Balance Sheets. We recognize lease expense for these short-term leases on a straight-line basis over the lease term.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leases typically contain rent escalations over the lease term. We recognize expense for these leases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Rent expense for the period prior to the restaurant opening is reported as pre-opening expense in the Consolidated Statements of Operations. If our estimates or underlying assumptions, including discount rate and sublease income change in the future, our operating results may be materially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40"/>
        <w:jc w:val="both"/>
        <w:rPr/>
      </w:pPr>
      <w:r>
        <w:rPr>
          <w:rFonts w:ascii="Times New Roman;sans-serif" w:hAnsi="Times New Roman;sans-serif"/>
          <w:b w:val="false"/>
          <w:color w:val="000000"/>
          <w:sz w:val="20"/>
        </w:rPr>
        <w:t>We are exposed to market risk from changes in interest rates on debt. Our exposure to interest rate fluctuations is limited to our outstanding borrowing u</w:t>
      </w:r>
      <w:r>
        <w:rPr>
          <w:rFonts w:ascii="Times New Roman;sans-serif" w:hAnsi="Times New Roman;sans-serif"/>
          <w:b w:val="false"/>
          <w:color w:val="000000"/>
          <w:sz w:val="20"/>
          <w:shd w:fill="FFFFFF" w:val="clear"/>
        </w:rPr>
        <w:t>nder our</w:t>
      </w:r>
      <w:r>
        <w:rPr>
          <w:color w:val="000000"/>
        </w:rPr>
        <w:t xml:space="preserve"> </w:t>
      </w:r>
      <w:r>
        <w:rPr>
          <w:rFonts w:ascii="Times New Roman;sans-serif" w:hAnsi="Times New Roman;sans-serif"/>
          <w:b w:val="false"/>
          <w:color w:val="000000"/>
          <w:sz w:val="20"/>
        </w:rPr>
        <w:t>A&amp;R</w:t>
      </w:r>
      <w:r>
        <w:rPr>
          <w:color w:val="000000"/>
          <w:shd w:fill="FFFFFF" w:val="clear"/>
        </w:rPr>
        <w:t xml:space="preserve"> </w:t>
      </w:r>
      <w:r>
        <w:rPr>
          <w:rFonts w:ascii="Times New Roman;sans-serif" w:hAnsi="Times New Roman;sans-serif"/>
          <w:b w:val="false"/>
          <w:color w:val="000000"/>
          <w:sz w:val="20"/>
          <w:shd w:fill="FFFFFF" w:val="clear"/>
        </w:rPr>
        <w:t>Credit Agreement, which bears interest at variable rates equal to SOFR plus a margin of 1.75% to 3.75% per annum, based upon the consolidated total lease-adjusted leverage ratio. A</w:t>
      </w:r>
      <w:r>
        <w:rPr>
          <w:rFonts w:ascii="Times New Roman;sans-serif" w:hAnsi="Times New Roman;sans-serif"/>
          <w:b w:val="false"/>
          <w:color w:val="000000"/>
          <w:sz w:val="20"/>
        </w:rPr>
        <w:t>s of December 31, 2024, $103.0 million in borrowings were outstanding under our A&amp;R Credit Agreement. An increase or decrease of 1.0% in the effective interest rate applied to our borrowings would have resulted in a pre-tax interest expense fluctuation of approximately $1.0 million on an annualized basis.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0" w:after="240"/>
        <w:jc w:val="both"/>
        <w:rPr/>
      </w:pPr>
      <w:r>
        <w:rPr>
          <w:rFonts w:ascii="Times New Roman;sans-serif" w:hAnsi="Times New Roman;sans-serif"/>
          <w:b w:val="false"/>
          <w:color w:val="000000"/>
          <w:sz w:val="20"/>
        </w:rPr>
        <w:t>We purchase certain products that are affected by commodity prices and are, therefore, subject to price volatility caused by weather, market conditions and other factors that are not considered predictable or within our control. Although these products are subject to changes in commodity prices, certain purchasing contracts or pricing arrangements contain risk management techniques designed to minimize price volatility. We use these types of purchasing techniques to control costs as an alternative to directly managing financial instruments to hedge commodity prices. In many cases, we believe we may be able to address material commodity cost increases by adjusting our menu pricing, but multiple price increases over a short period of time may negatively affect customer behavior, as we observ</w:t>
      </w:r>
      <w:r>
        <w:rPr>
          <w:rFonts w:ascii="Times New Roman;sans-serif" w:hAnsi="Times New Roman;sans-serif"/>
          <w:b w:val="false"/>
          <w:color w:val="000000"/>
          <w:sz w:val="20"/>
          <w:shd w:fill="FFFFFF" w:val="clear"/>
        </w:rPr>
        <w:t>ed in 2023. Beginning in 2023 and continuing into 2024, the commodity markets underlying our cost of food began to stabilize. However, increases in commodity prices, without adjustments to our menu prices, could increase restaurant operating costs as a percentage of restaurant revenue.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bidi w:val="0"/>
        <w:spacing w:lineRule="auto" w:line="288" w:before="0" w:after="0"/>
        <w:jc w:val="both"/>
        <w:rPr/>
      </w:pPr>
      <w:r>
        <w:rPr>
          <w:rFonts w:ascii="Times New Roman;sans-serif" w:hAnsi="Times New Roman;sans-serif"/>
          <w:b w:val="false"/>
          <w:color w:val="000000"/>
          <w:sz w:val="20"/>
        </w:rPr>
        <w:t>The primary inflationary factors affecting our operations are food costs, labor costs, energy costs and materials used in the construction of new restaurants and maintenance of existing restaurants. Increases in federal, state or local minimum wages directly affect our l</w:t>
      </w:r>
      <w:r>
        <w:rPr>
          <w:rFonts w:ascii="Times New Roman;sans-serif" w:hAnsi="Times New Roman;sans-serif"/>
          <w:b w:val="false"/>
          <w:color w:val="000000"/>
          <w:sz w:val="20"/>
          <w:shd w:fill="FFFFFF" w:val="clear"/>
        </w:rPr>
        <w:t xml:space="preserve">abor costs. Many of our leases require us to pay taxes, maintenance, repairs, insurance and utilities, all of which are generally subject to inflationary increases. Additionally, the cost of constructing our restaurants is subject to inflationary increases in the costs of labor and material. We expect inflation may continue to affect our results in the near future. However, in 2024, we have seen a decline in the rate of wage inflation.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ind w:left="0" w:right="0" w:hanging="99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63"/>
        <w:gridCol w:w="3130"/>
        <w:gridCol w:w="3139"/>
        <w:gridCol w:w="109"/>
        <w:gridCol w:w="109"/>
        <w:gridCol w:w="155"/>
      </w:tblGrid>
      <w:tr>
        <w:trPr/>
        <w:tc>
          <w:tcPr>
            <w:tcW w:w="3563"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73">
              <w:r>
                <w:rPr>
                  <w:rStyle w:val="InternetLink"/>
                  <w:rFonts w:ascii="Times New Roman;sans-serif" w:hAnsi="Times New Roman;sans-serif"/>
                  <w:b w:val="false"/>
                  <w:color w:val="000080"/>
                  <w:sz w:val="20"/>
                  <w:u w:val="single"/>
                </w:rPr>
                <w:t xml:space="preserve">Consolidated Balance Sheets as of </w:t>
              </w:r>
            </w:hyperlink>
            <w:hyperlink w:anchor="ic43d4297645240379cadfae4c30a127c_73">
              <w:r>
                <w:rPr>
                  <w:rStyle w:val="InternetLink"/>
                  <w:rFonts w:ascii="Times New Roman;sans-serif" w:hAnsi="Times New Roman;sans-serif"/>
                  <w:b w:val="false"/>
                  <w:color w:val="000080"/>
                  <w:sz w:val="20"/>
                  <w:u w:val="single"/>
                </w:rPr>
                <w:t>December 31</w:t>
              </w:r>
            </w:hyperlink>
            <w:hyperlink w:anchor="ic43d4297645240379cadfae4c30a127c_73">
              <w:r>
                <w:rPr>
                  <w:rStyle w:val="InternetLink"/>
                  <w:rFonts w:ascii="Times New Roman;sans-serif" w:hAnsi="Times New Roman;sans-serif"/>
                  <w:b w:val="false"/>
                  <w:color w:val="000080"/>
                  <w:sz w:val="20"/>
                  <w:u w:val="single"/>
                </w:rPr>
                <w:t xml:space="preserve">, 2024 and January </w:t>
              </w:r>
            </w:hyperlink>
            <w:hyperlink w:anchor="ic43d4297645240379cadfae4c30a127c_73">
              <w:r>
                <w:rPr>
                  <w:rStyle w:val="InternetLink"/>
                  <w:rFonts w:ascii="Times New Roman;sans-serif" w:hAnsi="Times New Roman;sans-serif"/>
                  <w:b w:val="false"/>
                  <w:color w:val="000080"/>
                  <w:sz w:val="20"/>
                  <w:u w:val="single"/>
                </w:rPr>
                <w:t>2</w:t>
              </w:r>
            </w:hyperlink>
            <w:hyperlink w:anchor="ic43d4297645240379cadfae4c30a127c_73">
              <w:r>
                <w:rPr>
                  <w:rStyle w:val="InternetLink"/>
                  <w:rFonts w:ascii="Times New Roman;sans-serif" w:hAnsi="Times New Roman;sans-serif"/>
                  <w:b w:val="false"/>
                  <w:color w:val="000080"/>
                  <w:sz w:val="20"/>
                  <w:u w:val="single"/>
                </w:rPr>
                <w:t>, 20</w:t>
              </w:r>
            </w:hyperlink>
            <w:hyperlink w:anchor="ic43d4297645240379cadfae4c30a127c_73">
              <w:r>
                <w:rPr>
                  <w:rStyle w:val="InternetLink"/>
                  <w:rFonts w:ascii="Times New Roman;sans-serif" w:hAnsi="Times New Roman;sans-serif"/>
                  <w:b w:val="false"/>
                  <w:color w:val="000080"/>
                  <w:sz w:val="20"/>
                  <w:u w:val="single"/>
                </w:rPr>
                <w:t>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73">
              <w:r>
                <w:rPr>
                  <w:rStyle w:val="InternetLink"/>
                  <w:rFonts w:ascii="Times New Roman;sans-serif" w:hAnsi="Times New Roman;sans-serif"/>
                  <w:b w:val="false"/>
                  <w:color w:val="0000FF"/>
                  <w:sz w:val="20"/>
                  <w:u w:val="single"/>
                </w:rPr>
                <w:t>40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76">
              <w:r>
                <w:rPr>
                  <w:rStyle w:val="InternetLink"/>
                  <w:rFonts w:ascii="Times New Roman;sans-serif" w:hAnsi="Times New Roman;sans-serif"/>
                  <w:b w:val="false"/>
                  <w:color w:val="000080"/>
                  <w:sz w:val="20"/>
                  <w:u w:val="single"/>
                </w:rPr>
                <w:t xml:space="preserve">Consolidated Statements of Operations for the years ended </w:t>
              </w:r>
            </w:hyperlink>
            <w:hyperlink w:anchor="ic43d4297645240379cadfae4c30a127c_76">
              <w:r>
                <w:rPr>
                  <w:rStyle w:val="InternetLink"/>
                  <w:rFonts w:ascii="Times New Roman;sans-serif" w:hAnsi="Times New Roman;sans-serif"/>
                  <w:b w:val="false"/>
                  <w:color w:val="000080"/>
                  <w:sz w:val="20"/>
                  <w:u w:val="single"/>
                </w:rPr>
                <w:t>December 31</w:t>
              </w:r>
            </w:hyperlink>
            <w:hyperlink w:anchor="ic43d4297645240379cadfae4c30a127c_76">
              <w:r>
                <w:rPr>
                  <w:rStyle w:val="InternetLink"/>
                  <w:rFonts w:ascii="Times New Roman;sans-serif" w:hAnsi="Times New Roman;sans-serif"/>
                  <w:b w:val="false"/>
                  <w:color w:val="000080"/>
                  <w:sz w:val="20"/>
                  <w:u w:val="single"/>
                </w:rPr>
                <w:t xml:space="preserve">, 2024, January </w:t>
              </w:r>
            </w:hyperlink>
            <w:hyperlink w:anchor="ic43d4297645240379cadfae4c30a127c_76">
              <w:r>
                <w:rPr>
                  <w:rStyle w:val="InternetLink"/>
                  <w:rFonts w:ascii="Times New Roman;sans-serif" w:hAnsi="Times New Roman;sans-serif"/>
                  <w:b w:val="false"/>
                  <w:color w:val="000080"/>
                  <w:sz w:val="20"/>
                  <w:u w:val="single"/>
                </w:rPr>
                <w:t>2</w:t>
              </w:r>
            </w:hyperlink>
            <w:hyperlink w:anchor="ic43d4297645240379cadfae4c30a127c_76">
              <w:r>
                <w:rPr>
                  <w:rStyle w:val="InternetLink"/>
                  <w:rFonts w:ascii="Times New Roman;sans-serif" w:hAnsi="Times New Roman;sans-serif"/>
                  <w:b w:val="false"/>
                  <w:color w:val="000080"/>
                  <w:sz w:val="20"/>
                  <w:u w:val="single"/>
                </w:rPr>
                <w:t>, 202</w:t>
              </w:r>
            </w:hyperlink>
            <w:hyperlink w:anchor="ic43d4297645240379cadfae4c30a127c_76">
              <w:r>
                <w:rPr>
                  <w:rStyle w:val="InternetLink"/>
                  <w:rFonts w:ascii="Times New Roman;sans-serif" w:hAnsi="Times New Roman;sans-serif"/>
                  <w:b w:val="false"/>
                  <w:color w:val="000080"/>
                  <w:sz w:val="20"/>
                  <w:u w:val="single"/>
                </w:rPr>
                <w:t>4</w:t>
              </w:r>
            </w:hyperlink>
            <w:hyperlink w:anchor="ic43d4297645240379cadfae4c30a127c_76">
              <w:r>
                <w:rPr>
                  <w:rStyle w:val="InternetLink"/>
                  <w:rFonts w:ascii="Times New Roman;sans-serif" w:hAnsi="Times New Roman;sans-serif"/>
                  <w:b w:val="false"/>
                  <w:color w:val="000080"/>
                  <w:sz w:val="20"/>
                  <w:u w:val="single"/>
                </w:rPr>
                <w:t xml:space="preserve"> and </w:t>
              </w:r>
            </w:hyperlink>
            <w:hyperlink w:anchor="ic43d4297645240379cadfae4c30a127c_76">
              <w:r>
                <w:rPr>
                  <w:rStyle w:val="InternetLink"/>
                  <w:rFonts w:ascii="Times New Roman;sans-serif" w:hAnsi="Times New Roman;sans-serif"/>
                  <w:b w:val="false"/>
                  <w:color w:val="000080"/>
                  <w:sz w:val="20"/>
                  <w:u w:val="single"/>
                </w:rPr>
                <w:t>January 3</w:t>
              </w:r>
            </w:hyperlink>
            <w:hyperlink w:anchor="ic43d4297645240379cadfae4c30a127c_76">
              <w:r>
                <w:rPr>
                  <w:rStyle w:val="InternetLink"/>
                  <w:rFonts w:ascii="Times New Roman;sans-serif" w:hAnsi="Times New Roman;sans-serif"/>
                  <w:b w:val="false"/>
                  <w:color w:val="000080"/>
                  <w:sz w:val="20"/>
                  <w:u w:val="single"/>
                </w:rPr>
                <w:t>, 20</w:t>
              </w:r>
            </w:hyperlink>
            <w:hyperlink w:anchor="ic43d4297645240379cadfae4c30a127c_76">
              <w:r>
                <w:rPr>
                  <w:rStyle w:val="InternetLink"/>
                  <w:rFonts w:ascii="Times New Roman;sans-serif" w:hAnsi="Times New Roman;sans-serif"/>
                  <w:b w:val="false"/>
                  <w:color w:val="000080"/>
                  <w:sz w:val="20"/>
                  <w:u w:val="single"/>
                </w:rPr>
                <w:t>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76">
              <w:r>
                <w:rPr>
                  <w:rStyle w:val="InternetLink"/>
                  <w:rFonts w:ascii="Times New Roman;sans-serif" w:hAnsi="Times New Roman;sans-serif"/>
                  <w:b w:val="false"/>
                  <w:color w:val="0000FF"/>
                  <w:sz w:val="20"/>
                  <w:u w:val="singl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79">
              <w:r>
                <w:rPr>
                  <w:rStyle w:val="InternetLink"/>
                  <w:rFonts w:ascii="Times New Roman;sans-serif" w:hAnsi="Times New Roman;sans-serif"/>
                  <w:b w:val="false"/>
                  <w:color w:val="000080"/>
                  <w:sz w:val="20"/>
                  <w:u w:val="single"/>
                </w:rPr>
                <w:t>Consolidated Statements of Stockholders’ Equity</w:t>
              </w:r>
            </w:hyperlink>
            <w:hyperlink w:anchor="ic43d4297645240379cadfae4c30a127c_79">
              <w:r>
                <w:rPr>
                  <w:rStyle w:val="InternetLink"/>
                  <w:rFonts w:ascii="Times New Roman;sans-serif" w:hAnsi="Times New Roman;sans-serif"/>
                  <w:b w:val="false"/>
                  <w:color w:val="000080"/>
                  <w:sz w:val="20"/>
                  <w:u w:val="single"/>
                </w:rPr>
                <w:t xml:space="preserve"> (</w:t>
              </w:r>
            </w:hyperlink>
            <w:hyperlink w:anchor="ic43d4297645240379cadfae4c30a127c_79">
              <w:r>
                <w:rPr>
                  <w:rStyle w:val="InternetLink"/>
                  <w:rFonts w:ascii="Times New Roman;sans-serif" w:hAnsi="Times New Roman;sans-serif"/>
                  <w:b w:val="false"/>
                  <w:color w:val="000080"/>
                  <w:sz w:val="20"/>
                  <w:u w:val="single"/>
                </w:rPr>
                <w:t>Deficit)</w:t>
              </w:r>
            </w:hyperlink>
            <w:hyperlink w:anchor="ic43d4297645240379cadfae4c30a127c_79">
              <w:r>
                <w:rPr>
                  <w:rStyle w:val="InternetLink"/>
                  <w:rFonts w:ascii="Times New Roman;sans-serif" w:hAnsi="Times New Roman;sans-serif"/>
                  <w:b w:val="false"/>
                  <w:color w:val="000080"/>
                  <w:sz w:val="20"/>
                  <w:u w:val="single"/>
                </w:rPr>
                <w:t xml:space="preserve"> for the years ended </w:t>
              </w:r>
            </w:hyperlink>
            <w:hyperlink w:anchor="ic43d4297645240379cadfae4c30a127c_76">
              <w:r>
                <w:rPr>
                  <w:rStyle w:val="InternetLink"/>
                  <w:rFonts w:ascii="Times New Roman;sans-serif" w:hAnsi="Times New Roman;sans-serif"/>
                  <w:b w:val="false"/>
                  <w:color w:val="000080"/>
                  <w:sz w:val="20"/>
                  <w:u w:val="single"/>
                </w:rPr>
                <w:t>December 31, 2024, January 2, 2024 and January 3, 20</w:t>
              </w:r>
            </w:hyperlink>
            <w:hyperlink w:anchor="ic43d4297645240379cadfae4c30a127c_76">
              <w:r>
                <w:rPr>
                  <w:rStyle w:val="InternetLink"/>
                  <w:rFonts w:ascii="Times New Roman;sans-serif" w:hAnsi="Times New Roman;sans-serif"/>
                  <w:b w:val="false"/>
                  <w:color w:val="000080"/>
                  <w:sz w:val="20"/>
                  <w:u w:val="single"/>
                </w:rPr>
                <w:t>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79">
              <w:r>
                <w:rPr>
                  <w:rStyle w:val="InternetLink"/>
                  <w:rFonts w:ascii="Times New Roman;sans-serif" w:hAnsi="Times New Roman;sans-serif"/>
                  <w:b w:val="false"/>
                  <w:color w:val="0000FF"/>
                  <w:sz w:val="20"/>
                  <w:u w:val="single"/>
                </w:rPr>
                <w:t>42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82">
              <w:r>
                <w:rPr>
                  <w:rStyle w:val="InternetLink"/>
                  <w:rFonts w:ascii="Times New Roman;sans-serif" w:hAnsi="Times New Roman;sans-serif"/>
                  <w:b w:val="false"/>
                  <w:color w:val="000080"/>
                  <w:sz w:val="20"/>
                  <w:u w:val="single"/>
                </w:rPr>
                <w:t xml:space="preserve">Consolidated Statements of Cash Flows for the years ended </w:t>
              </w:r>
            </w:hyperlink>
            <w:hyperlink w:anchor="ic43d4297645240379cadfae4c30a127c_76">
              <w:r>
                <w:rPr>
                  <w:rStyle w:val="InternetLink"/>
                  <w:rFonts w:ascii="Times New Roman;sans-serif" w:hAnsi="Times New Roman;sans-serif"/>
                  <w:b w:val="false"/>
                  <w:color w:val="000080"/>
                  <w:sz w:val="20"/>
                  <w:u w:val="single"/>
                </w:rPr>
                <w:t>December 31, 2024, January 2, 2024 and January 3, 20</w:t>
              </w:r>
            </w:hyperlink>
            <w:hyperlink w:anchor="ic43d4297645240379cadfae4c30a127c_76">
              <w:r>
                <w:rPr>
                  <w:rStyle w:val="InternetLink"/>
                  <w:rFonts w:ascii="Times New Roman;sans-serif" w:hAnsi="Times New Roman;sans-serif"/>
                  <w:b w:val="false"/>
                  <w:color w:val="000080"/>
                  <w:sz w:val="20"/>
                  <w:u w:val="single"/>
                </w:rPr>
                <w:t>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82">
              <w:r>
                <w:rPr>
                  <w:rStyle w:val="InternetLink"/>
                  <w:rFonts w:ascii="Times New Roman;sans-serif" w:hAnsi="Times New Roman;sans-serif"/>
                  <w:b w:val="false"/>
                  <w:color w:val="0000FF"/>
                  <w:sz w:val="20"/>
                  <w:u w:val="single"/>
                </w:rPr>
                <w:t>43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85">
              <w:r>
                <w:rPr>
                  <w:rStyle w:val="InternetLink"/>
                  <w:rFonts w:ascii="Times New Roman;sans-serif" w:hAnsi="Times New Roman;sans-serif"/>
                  <w:b w:val="false"/>
                  <w:color w:val="0000FF"/>
                  <w:sz w:val="20"/>
                  <w:u w:val="single"/>
                </w:rPr>
                <w:t>Notes to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85">
              <w:r>
                <w:rPr>
                  <w:rStyle w:val="InternetLink"/>
                  <w:rFonts w:ascii="Times New Roman;sans-serif" w:hAnsi="Times New Roman;sans-serif"/>
                  <w:b w:val="false"/>
                  <w:color w:val="0000FF"/>
                  <w:sz w:val="20"/>
                  <w:u w:val="singl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5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3d4297645240379cadfae4c30a127c_151">
              <w:r>
                <w:rPr>
                  <w:rStyle w:val="InternetLink"/>
                  <w:rFonts w:ascii="Times New Roman;sans-serif" w:hAnsi="Times New Roman;sans-serif"/>
                  <w:b w:val="false"/>
                  <w:color w:val="0000FF"/>
                  <w:sz w:val="20"/>
                  <w:u w:val="single"/>
                </w:rPr>
                <w:t>63</w:t>
              </w:r>
            </w:hyperlink>
          </w:p>
        </w:tc>
      </w:tr>
    </w:tbl>
    <w:p>
      <w:pPr>
        <w:pStyle w:val="TextBody"/>
        <w:bidi w:val="0"/>
        <w:spacing w:before="0" w:after="0"/>
        <w:jc w:val="left"/>
        <w:rPr/>
      </w:pPr>
      <w:r>
        <w:rPr/>
      </w:r>
    </w:p>
    <w:p>
      <w:pPr>
        <w:pStyle w:val="TextBody"/>
        <w:bidi w:val="0"/>
        <w:spacing w:lineRule="auto" w:line="288" w:before="160" w:after="16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42"/>
        <w:gridCol w:w="2287"/>
        <w:gridCol w:w="2258"/>
        <w:gridCol w:w="109"/>
        <w:gridCol w:w="109"/>
        <w:gridCol w:w="109"/>
        <w:gridCol w:w="202"/>
        <w:gridCol w:w="761"/>
        <w:gridCol w:w="112"/>
        <w:gridCol w:w="109"/>
        <w:gridCol w:w="109"/>
        <w:gridCol w:w="109"/>
        <w:gridCol w:w="196"/>
        <w:gridCol w:w="736"/>
        <w:gridCol w:w="157"/>
      </w:tblGrid>
      <w:tr>
        <w:trPr/>
        <w:tc>
          <w:tcPr>
            <w:tcW w:w="284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w:t>
              <w:br/>
              <w:t>2024</w:t>
            </w:r>
          </w:p>
        </w:tc>
      </w:tr>
      <w:tr>
        <w:trPr/>
        <w:tc>
          <w:tcPr>
            <w:tcW w:w="7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stock—$0.01 par value, 1,000,000 shares authorized and undesignated as of December 31, 2024 and January 2, 2024;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stock—$0.01 par value, 180,000,000 shares authorized as of December 31, 2024 and January 2, 2024; 48,161,878 issued and 45,738,007 outstanding as of December 31, 2024; 47,413,585 issued and 44,989,714 outstanding as of January 2,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2,423,871 shares as of December 31, 2024 and January 2,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368,095 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159"/>
        <w:gridCol w:w="1866"/>
        <w:gridCol w:w="1885"/>
        <w:gridCol w:w="109"/>
        <w:gridCol w:w="109"/>
        <w:gridCol w:w="109"/>
        <w:gridCol w:w="214"/>
        <w:gridCol w:w="795"/>
        <w:gridCol w:w="117"/>
        <w:gridCol w:w="109"/>
        <w:gridCol w:w="109"/>
        <w:gridCol w:w="109"/>
        <w:gridCol w:w="202"/>
        <w:gridCol w:w="759"/>
        <w:gridCol w:w="109"/>
        <w:gridCol w:w="109"/>
        <w:gridCol w:w="109"/>
        <w:gridCol w:w="109"/>
        <w:gridCol w:w="202"/>
        <w:gridCol w:w="759"/>
        <w:gridCol w:w="157"/>
      </w:tblGrid>
      <w:tr>
        <w:trPr/>
        <w:tc>
          <w:tcPr>
            <w:tcW w:w="215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w:t>
              <w:br/>
              <w:t>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509,480 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operating costs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521,049 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per Class A and Class B common stock,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Class A and Class B common stock outstanding, combined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45,465,727 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45,913,787 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45,465,727 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45,913,787 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6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637"/>
        <w:gridCol w:w="468"/>
        <w:gridCol w:w="470"/>
        <w:gridCol w:w="109"/>
        <w:gridCol w:w="109"/>
        <w:gridCol w:w="109"/>
        <w:gridCol w:w="398"/>
        <w:gridCol w:w="398"/>
        <w:gridCol w:w="171"/>
        <w:gridCol w:w="109"/>
        <w:gridCol w:w="109"/>
        <w:gridCol w:w="109"/>
        <w:gridCol w:w="181"/>
        <w:gridCol w:w="361"/>
        <w:gridCol w:w="109"/>
        <w:gridCol w:w="109"/>
        <w:gridCol w:w="109"/>
        <w:gridCol w:w="109"/>
        <w:gridCol w:w="360"/>
        <w:gridCol w:w="361"/>
        <w:gridCol w:w="171"/>
        <w:gridCol w:w="109"/>
        <w:gridCol w:w="109"/>
        <w:gridCol w:w="109"/>
        <w:gridCol w:w="181"/>
        <w:gridCol w:w="579"/>
        <w:gridCol w:w="109"/>
        <w:gridCol w:w="109"/>
        <w:gridCol w:w="109"/>
        <w:gridCol w:w="109"/>
        <w:gridCol w:w="181"/>
        <w:gridCol w:w="616"/>
        <w:gridCol w:w="109"/>
        <w:gridCol w:w="109"/>
        <w:gridCol w:w="109"/>
        <w:gridCol w:w="109"/>
        <w:gridCol w:w="181"/>
        <w:gridCol w:w="654"/>
        <w:gridCol w:w="109"/>
        <w:gridCol w:w="109"/>
        <w:gridCol w:w="109"/>
        <w:gridCol w:w="109"/>
        <w:gridCol w:w="207"/>
        <w:gridCol w:w="621"/>
        <w:gridCol w:w="126"/>
        <w:gridCol w:w="158"/>
      </w:tblGrid>
      <w:tr>
        <w:trPr/>
        <w:tc>
          <w:tcPr>
            <w:tcW w:w="6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Common Stock</w:t>
            </w:r>
            <w:r>
              <w:rPr>
                <w:rFonts w:ascii="Times New Roman;sans-serif" w:hAnsi="Times New Roman;sans-serif"/>
                <w:b/>
                <w:color w:val="000000"/>
                <w:sz w:val="9"/>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Stockholders’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Equity (Deficit)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8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Balance—December 28,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48,125,151 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339,147 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Balance—January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48,464,298 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681,239 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and retired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(1,731,952)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Balance—January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47,413,585 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plan transactions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748,293 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48,161,878 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(5,579)</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720"/>
        <w:jc w:val="left"/>
        <w:rPr>
          <w:rFonts w:ascii="Times New Roman;sans-serif" w:hAnsi="Times New Roman;sans-serif"/>
          <w:b w:val="false"/>
          <w:color w:val="000000"/>
          <w:sz w:val="14"/>
        </w:rPr>
      </w:pPr>
      <w:r>
        <w:rPr>
          <w:rFonts w:ascii="Times New Roman;sans-serif" w:hAnsi="Times New Roman;sans-serif"/>
          <w:b w:val="false"/>
          <w:color w:val="000000"/>
          <w:sz w:val="14"/>
        </w:rPr>
        <w:t>(1)Unless otherwise noted, activity relates to Class A common stock.</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931" w:type="dxa"/>
        <w:jc w:val="left"/>
        <w:tblInd w:w="0" w:type="dxa"/>
        <w:tblLayout w:type="fixed"/>
        <w:tblCellMar>
          <w:top w:w="28" w:type="dxa"/>
          <w:left w:w="28" w:type="dxa"/>
          <w:bottom w:w="28" w:type="dxa"/>
          <w:right w:w="28" w:type="dxa"/>
        </w:tblCellMar>
      </w:tblPr>
      <w:tblGrid>
        <w:gridCol w:w="2133"/>
        <w:gridCol w:w="1877"/>
        <w:gridCol w:w="1884"/>
        <w:gridCol w:w="109"/>
        <w:gridCol w:w="109"/>
        <w:gridCol w:w="109"/>
        <w:gridCol w:w="217"/>
        <w:gridCol w:w="801"/>
        <w:gridCol w:w="121"/>
        <w:gridCol w:w="109"/>
        <w:gridCol w:w="109"/>
        <w:gridCol w:w="109"/>
        <w:gridCol w:w="196"/>
        <w:gridCol w:w="631"/>
        <w:gridCol w:w="109"/>
        <w:gridCol w:w="109"/>
        <w:gridCol w:w="109"/>
        <w:gridCol w:w="109"/>
        <w:gridCol w:w="196"/>
        <w:gridCol w:w="631"/>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w:t>
              <w:br/>
              <w:t>2023</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insurance proceeds received for property damage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restaurant refranchising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proceeds received for property damage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borrowings from swing line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plan transactions and tax withholding on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 Business and Summary of Significant Accounting Policies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Noodles &amp; Company (the “Company” or “Noodles &amp; Company”), a Delaware corporation, develops and operates fast-casual restaurants that serve globally-inspired noodle and pasta dishes, soups, salads and appetizers. As of December 31, 2024, the Company had 371 company-owned restaurants and 92 franchise restaurants in 31 states. The Company operates its business as one operating and reportable segment.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Noodles &amp; Company and its subsidiaries. All intercompany balances and transactions are eliminated in consolidation.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operates on a 52- or 53-week fiscal year ending on the Tuesday closest to December 31. Fiscal years 2024 and 2023 which ended on December 31, 2024 and January 2, 2024, respectively, each contained 52 weeks. Fiscal year 2022 which ended on January 3, 2023 contained 53 weeks. </w:t>
      </w:r>
    </w:p>
    <w:p>
      <w:pPr>
        <w:pStyle w:val="TextBody"/>
        <w:bidi w:val="0"/>
        <w:spacing w:lineRule="auto" w:line="288" w:before="22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Estimates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 instruments with an initial maturity of three months or less when purchased to be cash equivalents. Amounts receivable from credit card processors are converted to cash shortly after the related sales transaction and are considered to be cash equivalents because they are both short-term and highly liquid in nature. Amounts receivable from credit card processors as of December 31, 2024 and January 2, 2024, which are included in cash and cash equivalents, were $0.8 million and $2.4 million, respectively. Additionally, the Company records “book overdrafts” when outstanding checks at year end are in excess of cash and cash equivalents. Such book overdrafts are recorded within accounts payable in the accompanying Consolidated Balance Sheets and within operating activities in the accompanying Consolidated Statements of Cash Flows.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60" w:after="160"/>
        <w:jc w:val="both"/>
        <w:rPr/>
      </w:pPr>
      <w:r>
        <w:rPr>
          <w:rFonts w:ascii="Times New Roman;sans-serif" w:hAnsi="Times New Roman;sans-serif"/>
          <w:b w:val="false"/>
          <w:color w:val="000000"/>
          <w:sz w:val="20"/>
        </w:rPr>
        <w:t xml:space="preserve">Accounts receivable consists primarily of franchise receivables and vendor rebates, as well as insurance receivables and other miscellaneous receivables arising from the normal course of business. The Company believes all amounts to be collectible, accordingly, no allowance for doubtful accounts has been recorded as of December 31, 2024 or January 2, 2024. </w:t>
      </w:r>
      <w:r>
        <w:rPr>
          <w:rFonts w:ascii="Times New Roman;sans-serif" w:hAnsi="Times New Roman;sans-serif"/>
          <w:b w:val="false"/>
          <w:color w:val="000000"/>
          <w:sz w:val="20"/>
          <w:shd w:fill="FFFFFF" w:val="clear"/>
        </w:rPr>
        <w:t xml:space="preserve">In 2023, the Company recognized $0.5 million of bad debt expense.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60" w:after="160"/>
        <w:jc w:val="both"/>
        <w:rPr/>
      </w:pPr>
      <w:r>
        <w:rPr>
          <w:rFonts w:ascii="Times New Roman;sans-serif" w:hAnsi="Times New Roman;sans-serif"/>
          <w:b w:val="false"/>
          <w:color w:val="000000"/>
          <w:sz w:val="20"/>
        </w:rPr>
        <w:t>Inventories consist of food, beverages, supplies and smallwares, and are stated at the lower of cost (first-in, first-out method) or net realizable value. Smallwares inventory, which consist of the plates, silverware and cooking utensils used in the restaurants, are frequently replaced and are therefore c</w:t>
      </w:r>
      <w:r>
        <w:rPr>
          <w:rFonts w:ascii="Times New Roman;sans-serif" w:hAnsi="Times New Roman;sans-serif"/>
          <w:b w:val="false"/>
          <w:color w:val="000000"/>
          <w:sz w:val="20"/>
          <w:shd w:fill="FFFFFF" w:val="clear"/>
        </w:rPr>
        <w:t>onsidered current assets. Replacement costs of smallwares inventory are recorded as other restaurant operating costs in the Consolidated Statements of Operations and are expensed as incurred. As of December 31, 2024 and January 2, 2024, smallwares inventory of $6.7 million, was included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Property and Equipment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Expenditures for major renewals and improvements are capitalized, while expenditures for minor replacements and maintenance and repairs are expensed as incurred. Upon retirement or disposal of assets, the accounts are relieved of cost and accumulated depreciation and the related gain or loss is reflected in earnings. Depreciation is calculated using the straight-line method over the estimated useful lives of the assets. Leasehold improvements are amortized over the shorter of the estimated useful life or the lease term, which generally includes option periods that are reasonably certain to be exercised. Depreciation and amortization expense on property and equipment, including assets recorded as finance leases, was $29.0 million, $26.7 million and $23.2 million in 2024, 2023 and 2022, respectively.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for property and equipment are:</w:t>
      </w:r>
    </w:p>
    <w:tbl>
      <w:tblPr>
        <w:tblW w:w="8142" w:type="dxa"/>
        <w:jc w:val="left"/>
        <w:tblInd w:w="0" w:type="dxa"/>
        <w:tblLayout w:type="fixed"/>
        <w:tblCellMar>
          <w:top w:w="28" w:type="dxa"/>
          <w:left w:w="28" w:type="dxa"/>
          <w:bottom w:w="28" w:type="dxa"/>
          <w:right w:w="28" w:type="dxa"/>
        </w:tblCellMar>
      </w:tblPr>
      <w:tblGrid>
        <w:gridCol w:w="805"/>
        <w:gridCol w:w="705"/>
        <w:gridCol w:w="710"/>
        <w:gridCol w:w="109"/>
        <w:gridCol w:w="109"/>
        <w:gridCol w:w="109"/>
        <w:gridCol w:w="1635"/>
        <w:gridCol w:w="1635"/>
        <w:gridCol w:w="2325"/>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 not to exceed 20 years</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15 years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bl>
    <w:p>
      <w:pPr>
        <w:pStyle w:val="TextBody"/>
        <w:bidi w:val="0"/>
        <w:spacing w:lineRule="auto" w:line="288" w:before="240" w:after="160"/>
        <w:jc w:val="both"/>
        <w:rPr/>
      </w:pPr>
      <w:r>
        <w:rPr>
          <w:rFonts w:ascii="Times New Roman;sans-serif" w:hAnsi="Times New Roman;sans-serif"/>
          <w:b w:val="false"/>
          <w:color w:val="000000"/>
          <w:sz w:val="20"/>
        </w:rPr>
        <w:t xml:space="preserve">The Company capitalizes internal payroll and payroll-related costs directly related to the successful acquisition, development, design and construction of its new restaurants. Capitalized internal costs were </w:t>
      </w:r>
      <w:r>
        <w:rPr>
          <w:rFonts w:ascii="Times New Roman;sans-serif" w:hAnsi="Times New Roman;sans-serif"/>
          <w:b w:val="false"/>
          <w:color w:val="000000"/>
          <w:sz w:val="20"/>
          <w:shd w:fill="FFFFFF" w:val="clear"/>
        </w:rPr>
        <w:t>$0.4 million</w:t>
      </w:r>
      <w:r>
        <w:rPr>
          <w:rFonts w:ascii="Times New Roman;sans-serif" w:hAnsi="Times New Roman;sans-serif"/>
          <w:b w:val="false"/>
          <w:color w:val="000000"/>
          <w:sz w:val="20"/>
        </w:rPr>
        <w:t>, $0.5 million and $0.4 million in 2024, 2023 and 2022, respectively. Interest incurred on funds used to construct company-owned restaurants is capitalized and amortized over the estimated useful life of the related assets. Capitalized interest totaled $0.4 million, $0.9 million and $0.6 million in 2024, 2023 and 2022, respectively.</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fair value of identifiable net assets acquired. Goodwill is not subject to amortization, but instead is tested for impairment at least annually (or more often, if necessary) as of the first day of the Company’s fourth fiscal quarter.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evaluated at the level of the Company’s single operating segment, which also represents the Company’s only reporting unit. In 2024, 2023 and 2022, the Company performed a qualitative impairment assessment. Under this approach, the Company first assesses qualitative factors to determine whether it is more likely than not that the fair value of its reporting unit is less than its carrying amount as a basis for determining whether it is necessary to perform the two-step goodwill impairment test. The more-likely-than-not threshold is defined as having a likelihood of more than 50 percent. If after performing the qualitative assessment, the Company determines there is less than a 50 percent chance that the fair value of its reporting unit is less than its carrying amount, then performing the two-step test is unnecessary. Based on the qualitative assessment performed, management did not believe that it is more likely than not that the Company’s goodwill has been impaired.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Company’s analysis, no impairment charges were recognized on goodwill in 2024, 2023 or 2022. </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Intangibles,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Intangibles, net consists primarily of reacquired franchise rights and trademarks. The Company amortizes the reacquired franchise rights over the remaining contractual terms of the reacquired franchise area development agreements at the time of acquisition, which ranged from approximately one year to eight years as of December 31, 2024. Trademark rights are considered indefinite-lived intangible assets, the carrying value of which are analyzed for impairment at least annually (or more often, if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on a regular basis, in addition to whenever events or changes in circumstances indicate that the carrying amount of an asset may not be recoverable. Recoverability of assets is measured by a comparison of the carrying amount of the assets to the future undiscounted net cash flows expected to be generated by the assets. Identifiable cash flows are measured at the lowest level for which they are largely independent of the cash flows of other groups of assets and liabilities, generally at the restaurant level. If the assets are determined to be impaired, the amount of impairment recognized is measured by the amount by which the carrying amount of the assets exceeds their fair value. Estimates of future cash flows are based on the Company’s experience and knowledge of local operations. During 2024, 2023 and 2022, the Company recorded impairment charges of certain long-lived assets which are included in restaurant impairments, closure costs and asset disposals in the Consolidated Statements of Operations. See Note 6, Restaurant Impairments, Closure Costs and Asset Disposals. Fair value of the restaurant assets was determined using Level 3 inputs (as described in Note 5, Fair Value Measurements).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fees and costs incurred to obtain long-term financing are capitalized and included as a reduction in the net carrying value of long-term debt, net of accumulated amortization. These costs are amortized to interest expense over the term of the related debt. When debt is extinguished prior to its maturity date, the amortization of the remaining unamortized debt issuance costs, or pro-rata portion thereof, is charged to loss on extinguishment of debt. Debt issuance costs of $2.3 million and $2.0 million, net of accumulated amortization, as of December 31, 2024 and January 2, 2024, respectively, are included as a reduction of long-term debt in the Consolidated Balance Sheets.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Self-Insurance Programs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self-insures for health, workers’ compensation, general liability and property damage. Predetermined loss limits have been arranged with insurance companies to limit the Company’s per occurrence cash outlay. Estimated costs to settle reported claims and incurred but unreported claims for health and workers’ compensation self-insured plans are recorded in accrued payroll and benefits and for general liability and property damage in accrued expenses and other liabilities in the Consolidated Balance Sheets.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 The Company’s cash balances may exceed federally insured limits. Credit card transactions at the Company’s restaurants are processed by one service provider. Concentration of credit risk related to accounts receivable are limited, as the Company’s receivables are primarily amounts due from franchisees and the Company directly pulls the amounts owed from the franchisees bank accounts.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Revenue consists of sales from restaurant operations and franchise royalties and fees. Revenue from the operation of company-owned restaurants is recognized when sales occur. The Company reports revenue net of sales and use taxes collected from customers and remitted to governmental taxing authorities.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Gift Cards</w:t>
      </w:r>
    </w:p>
    <w:p>
      <w:pPr>
        <w:pStyle w:val="TextBody"/>
        <w:bidi w:val="0"/>
        <w:spacing w:lineRule="auto" w:line="288" w:before="160" w:after="160"/>
        <w:jc w:val="both"/>
        <w:rPr/>
      </w:pPr>
      <w:r>
        <w:rPr>
          <w:rFonts w:ascii="Times New Roman;sans-serif" w:hAnsi="Times New Roman;sans-serif"/>
          <w:b w:val="false"/>
          <w:color w:val="000000"/>
          <w:sz w:val="20"/>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w:t>
      </w:r>
      <w:r>
        <w:rPr>
          <w:rFonts w:ascii="Times New Roman;sans-serif" w:hAnsi="Times New Roman;sans-serif"/>
          <w:b w:val="false"/>
          <w:color w:val="000000"/>
          <w:sz w:val="20"/>
          <w:shd w:fill="FFFFFF" w:val="clear"/>
        </w:rPr>
        <w:t>mately 15% of gif</w:t>
      </w:r>
      <w:r>
        <w:rPr>
          <w:rFonts w:ascii="Times New Roman;sans-serif" w:hAnsi="Times New Roman;sans-serif"/>
          <w:b w:val="false"/>
          <w:color w:val="000000"/>
          <w:sz w:val="20"/>
        </w:rPr>
        <w:t>t cards will not be redeemed, which is recognized ratably over the estimated redemption period of the gift card, approximately 24 months.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Loyalty Program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Points generally expire after six months. Revenue is recognized in a future period when the reward points are redeemed.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Franchise Royalties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Royalties from franchise restaurants are based on a percentage of restaurant revenues and are recognized in the period the related franchised restaurants’ sales occur. Development fees and franchise fees, portions of which are collected in advance, are nonrefundable. The Company has determined that the initial franchise services are not distinct from the continuing rights or services offered during the term of the franchise agreement and should be treated as a single performance obligation; therefore, such fees are recognized in income ratably over the term of the related franchise agreement or recognized upon the termination of the agreement between the Company and the franchisee. </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2024, January 2, 2024 and January 3, 2023, there were 92, 90 and 93 franchise restaurants in operation, respectively. Franchisees opened three restaurants in 2024, no restaurants in 2023 and three in 2022. Seven franchise restaurants closed in 2024, three franchise restaurants closed in 2023 and one closed in 2022. In addition, there were six company-owned locations acquired by a franchisee in 2024 and 15 acquired by a franchisee in 2022.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Sublease Income</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records sublease income related to leases for which the Company remains obligated. The Company has entered into transactions to sell company-owned restaurants to franchisees. The lease agreements for those restaurants were assigned to the franchisee, but in some instances, the Company was not relieved of its primary obligations under the main lease, therefore these leases are treated as subleases. The lease income on these locations has been recorded in “Franchising royalties and fees, and other” and the offsetting lease expense has been recorded in “Restaurant impairments, closure costs and asset disposals” in the Consolidated Statement of Operations. </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Pre-Opening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costs, including rent, wages, benefits and travel for the training and opening teams, food, beverage and other restaurant operating costs, are expensed as incurred prior to a restaurant opening for business.</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Advertising and Marketing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and marketing costs are expensed as incurred and were $12.7 million, $10.8 million and $9.3 million in 2024, 2023 and 2022, respectively. These costs are included in restaurant operating costs, general and administrative expenses and pre-opening costs based on the nature of the advertising and marketing costs incurred.</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Rent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expense for the Company’s leases, which generally have escalating rentals over the term of the lease, is recorded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Some of the Company’s leases include rent escalations based on inflation indexes and fair market value adjustments. Certain leases contain contingent rental provisions that include a fixed base rent plus an additional percentage of the restaurant’s sales in excess of stipulated amounts. Lease expense associated with rent escalation and contingent rental provisions is not material and is included within operating lease cost. Operating lease liabilities are calculated using the prevailing index or rate at lease commencement. Subsequent escalations in the index or rate and contingent rental payments are recognized as variable lease expenses. Our lease agreements do not contain any material residual value guarantees or material restrictive covenants.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most of the Company’s leases do not provide an implicit rate, the Company used its incremental borrowing rate based on the information available at commencement date in determining the present value of lease payments. </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(benefit) for income taxes is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deferred amounts are expected to be recovered or settled. Valuation allowances are recorded for deferred tax assets that more likely than not will not be realized. The effect on deferred tax assets and liabilities of a change in tax rates is recognized in income in the period that includes the enactment date. The Company’s policy is to recognize interest to be paid on an underpayment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taxes in interest expense and any related statutory penalties in provision (benefit) for income taxes in the Consolidated Statements of Operations.</w:t>
      </w:r>
    </w:p>
    <w:p>
      <w:pPr>
        <w:pStyle w:val="TextBody"/>
        <w:bidi w:val="0"/>
        <w:spacing w:lineRule="auto" w:line="288" w:before="22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measured at the grant date based upon the estimated fair value of the portion of the award that is ultimately expected to vest and is recognized as expense over the applicable vesting period of the award generally using the straight-line method (see Note 9, Stock-Based Compensation for more information).</w:t>
      </w:r>
    </w:p>
    <w:p>
      <w:pPr>
        <w:pStyle w:val="TextBody"/>
        <w:bidi w:val="0"/>
        <w:spacing w:lineRule="auto" w:line="288" w:before="300" w:after="1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300" w:after="1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 Company adopted ASU No. 2023-07 during the year ended December 31, 2024. See Note 17, Segment Reporting for further detail.</w:t>
      </w:r>
    </w:p>
    <w:p>
      <w:pPr>
        <w:pStyle w:val="TextBody"/>
        <w:bidi w:val="0"/>
        <w:spacing w:lineRule="auto" w:line="288" w:before="16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Pronouncements Not Yet Adopted</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this guidance may have on its consolidated financial statements and related disclosures.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 Supplemental Financial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the following (in thousands):</w:t>
      </w:r>
    </w:p>
    <w:tbl>
      <w:tblPr>
        <w:tblW w:w="5076"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616"/>
        <w:gridCol w:w="109"/>
        <w:gridCol w:w="109"/>
        <w:gridCol w:w="109"/>
        <w:gridCol w:w="109"/>
        <w:gridCol w:w="211"/>
        <w:gridCol w:w="61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Delivery program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rebate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Franchise receivables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Franchise receivables include amounts related to equipment purchased in advance at a discount for franchisees.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of the following (in thousands):</w:t>
      </w:r>
    </w:p>
    <w:tbl>
      <w:tblPr>
        <w:tblW w:w="5406" w:type="dxa"/>
        <w:jc w:val="left"/>
        <w:tblInd w:w="0" w:type="dxa"/>
        <w:tblLayout w:type="fixed"/>
        <w:tblCellMar>
          <w:top w:w="28" w:type="dxa"/>
          <w:left w:w="28" w:type="dxa"/>
          <w:bottom w:w="28" w:type="dxa"/>
          <w:right w:w="28" w:type="dxa"/>
        </w:tblCellMar>
      </w:tblPr>
      <w:tblGrid>
        <w:gridCol w:w="1026"/>
        <w:gridCol w:w="901"/>
        <w:gridCol w:w="908"/>
        <w:gridCol w:w="109"/>
        <w:gridCol w:w="109"/>
        <w:gridCol w:w="109"/>
        <w:gridCol w:w="211"/>
        <w:gridCol w:w="616"/>
        <w:gridCol w:w="109"/>
        <w:gridCol w:w="109"/>
        <w:gridCol w:w="109"/>
        <w:gridCol w:w="109"/>
        <w:gridCol w:w="211"/>
        <w:gridCol w:w="61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occupancy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before="20" w:after="283"/>
        <w:ind w:left="0" w:right="0" w:hanging="45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6681"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 consist of the following (in thousands):</w:t>
      </w:r>
    </w:p>
    <w:tbl>
      <w:tblPr>
        <w:tblW w:w="5766"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11"/>
        <w:gridCol w:w="616"/>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6605" w:type="dxa"/>
        <w:jc w:val="left"/>
        <w:tblInd w:w="0" w:type="dxa"/>
        <w:tblLayout w:type="fixed"/>
        <w:tblCellMar>
          <w:top w:w="28" w:type="dxa"/>
          <w:left w:w="28" w:type="dxa"/>
          <w:bottom w:w="28" w:type="dxa"/>
          <w:right w:w="28" w:type="dxa"/>
        </w:tblCellMar>
      </w:tblPr>
      <w:tblGrid>
        <w:gridCol w:w="1385"/>
        <w:gridCol w:w="1215"/>
        <w:gridCol w:w="1224"/>
        <w:gridCol w:w="109"/>
        <w:gridCol w:w="109"/>
        <w:gridCol w:w="109"/>
        <w:gridCol w:w="211"/>
        <w:gridCol w:w="721"/>
        <w:gridCol w:w="109"/>
        <w:gridCol w:w="109"/>
        <w:gridCol w:w="109"/>
        <w:gridCol w:w="109"/>
        <w:gridCol w:w="211"/>
        <w:gridCol w:w="72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Gift card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restaurant expense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3. Goodwill and Intangible Assets</w:t>
      </w:r>
    </w:p>
    <w:p>
      <w:pPr>
        <w:pStyle w:val="TextBody"/>
        <w:bidi w:val="0"/>
        <w:spacing w:lineRule="auto" w:line="288" w:before="60" w:after="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goodwill impairment charges in 2024, 2023 or 2022. As of December 31, 2024 and January 2, 2024, the goodwill balance remained at $7.2 million.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intangible assets subject to amortization as of December 31, 2024 and January 2, 2024, (in thousands):</w:t>
      </w:r>
    </w:p>
    <w:tbl>
      <w:tblPr>
        <w:tblW w:w="5151" w:type="dxa"/>
        <w:jc w:val="center"/>
        <w:tblInd w:w="0" w:type="dxa"/>
        <w:tblLayout w:type="fixed"/>
        <w:tblCellMar>
          <w:top w:w="28" w:type="dxa"/>
          <w:left w:w="28" w:type="dxa"/>
          <w:bottom w:w="28" w:type="dxa"/>
          <w:right w:w="28" w:type="dxa"/>
        </w:tblCellMar>
      </w:tblPr>
      <w:tblGrid>
        <w:gridCol w:w="1044"/>
        <w:gridCol w:w="916"/>
        <w:gridCol w:w="920"/>
        <w:gridCol w:w="109"/>
        <w:gridCol w:w="109"/>
        <w:gridCol w:w="109"/>
        <w:gridCol w:w="211"/>
        <w:gridCol w:w="466"/>
        <w:gridCol w:w="109"/>
        <w:gridCol w:w="109"/>
        <w:gridCol w:w="109"/>
        <w:gridCol w:w="109"/>
        <w:gridCol w:w="211"/>
        <w:gridCol w:w="46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as of December 31, 2024 is as follows, (in thousands):</w:t>
      </w:r>
    </w:p>
    <w:tbl>
      <w:tblPr>
        <w:tblW w:w="2104"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charges were recorded related to non-amortized intangible assets in 2024, 2023 or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60"/>
        <w:jc w:val="left"/>
        <w:rPr>
          <w:rFonts w:ascii="Times New Roman;sans-serif" w:hAnsi="Times New Roman;sans-serif"/>
          <w:b/>
          <w:color w:val="000000"/>
          <w:sz w:val="20"/>
        </w:rPr>
      </w:pPr>
      <w:r>
        <w:rPr>
          <w:rFonts w:ascii="Times New Roman;sans-serif" w:hAnsi="Times New Roman;sans-serif"/>
          <w:b/>
          <w:color w:val="000000"/>
          <w:sz w:val="20"/>
        </w:rPr>
        <w:t>4. Long-Term Debt</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0"/>
        <w:jc w:val="both"/>
        <w:rPr/>
      </w:pPr>
      <w:r>
        <w:rPr>
          <w:rFonts w:ascii="Times New Roman;sans-serif" w:hAnsi="Times New Roman;sans-serif"/>
          <w:b w:val="false"/>
          <w:color w:val="000000"/>
          <w:sz w:val="20"/>
          <w:shd w:fill="FFFFFF" w:val="clear"/>
        </w:rPr>
        <w:t>On July 27, 2022, the Company amended and restated the Credit Agreement by entering into the Amended and Restated Credit Agreement (as further amended, restated, extended, supplemented, modified and otherwise in effect from time to time, the “A&amp;R Credit Agreement”), with each other Loan Party (as defined in the A&amp;R Credit Agreement) part</w:t>
      </w:r>
      <w:r>
        <w:rPr>
          <w:rFonts w:ascii="Times New Roman;sans-serif" w:hAnsi="Times New Roman;sans-serif"/>
          <w:b w:val="false"/>
          <w:color w:val="000000"/>
          <w:sz w:val="20"/>
        </w:rPr>
        <w: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 (i) increased the credit facility from $100.0 million to $125.0 million; (ii) eliminated the term loan and principal amortization components of the credit facility; (iii) removed the capital expenditure covenant; (iv) enhanced flexibility for certain covenants and restrictions; and (v) lowered the spread within the Company’s cost of borrowing and transitioned from LIBOR to SOFR plus a margin of 1.50% to 2.50% per annum, based upon the consolidated total lease-adjusted leverage ratio. In connection with the entry into the A&amp;R Credit Agreement, the Company wrote off a portion of the unamortized debt issuance costs related to the Credit Agreement in the amount of $0.3 million in 2022. The A&amp;R Credit Agreement is secured by a pledge of stock of substantially all of the Company’s subsidiaries and a lien on substantially all of the personal property assets of the Company and its subsidiaries.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December 21, 2023, the </w:t>
      </w:r>
      <w:r>
        <w:rPr>
          <w:rFonts w:ascii="Times New Roman;sans-serif" w:hAnsi="Times New Roman;sans-serif"/>
          <w:b w:val="false"/>
          <w:color w:val="000000"/>
          <w:sz w:val="20"/>
        </w:rPr>
        <w:t>Company amended its A&amp;R Credit Agreement by entering into that certain First Amendment to Amended and Restated Credit Agreement (the “Amendment”). Among the modifications, the Amendment: (i) increased applicable rate ranges (A) with respect to SOFR loans, from 1.50% - 2.50% per annum to 1.75% - 3.00% per annum and (B) with respect to base rate loans, from 0.50% - 1.50% per annum to 0.75% - 2.00% per annum, in each case as determined by the Consolidated Total Lease Adjusted Leverage Ratio (as defined in the A&amp;R Credit Agreement), (ii) amended the Consolidated Fixed Charge Coverage Ratio (as defined in the A&amp;R Credit Agreement) in order to limit the deduction of capital expenditures to “Non-Growth Capital Expenditures”, (iii) added a defined term for “Non-Growth Capital Expenditures” (along with certain related definitions), (iv) added a new capital expenditures covenant governing entry into new lease agreements and (v) increased the Consolidated Total Lease Adjusted Leverage Ratio (as defined in the A&amp;R Credit Agreement) to be no greater than (x) 4.50 to 1.00 for the period beginning on the last day of the fiscal quarter ending January 2, 2024 until and including the last day of the fiscal quarter ending December 30, 2025 and (y) 4.25 to 1.00 for the period beginning on the last day of the fiscal quarter ending March 31, 2026 until and including the last day of the fiscal quarter ending September 29,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29, 2024, the Company amended its A&amp;R Credit Agreement, by entering into that certain Second Amendment to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Credit Agreement is greater than or equal to 4.50 to 1.00, (iv) increased the Consolidated Total Lease Adjusted Leverage Ratio (as defined in the A&amp;R Credit Agreement) in Section 7.11(a) of the Credit Agreement to be no greater than (x) 5.50 to 1.00 for the fiscal quarter ending on October 1, 2024 until and including the last day of the fiscal quarter ending September 30, 2025 and (y)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stepping down to (1) 5.25 to 1.00 per annum for the fiscal quarter ending December 30, 2025, (2) 5.00 to 1.00 per annum for the fiscal quarters ending March 31, 2026 and June 30, 2026, (3) 4.75 to 1.00 for the fiscal quarters ending September 29, 2026 and December 29, 2026 and (4) 4.50 to 1.00 per annum for the fiscal quarter ended March 30, 2027 and thereafter and (v) amended the Consolidated Fixed Charge Coverage Ratio (as defined in the A&amp;R Credit Agreement) in Section 7.11(b) of the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pStyle w:val="TextBody"/>
        <w:bidi w:val="0"/>
        <w:spacing w:lineRule="auto" w:line="288" w:before="28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2024, the Company had $103.0 million of indebtedness (excluding $2.3 million of unamortized debt issuance costs) and $3.0 million of letters of credit outstanding under the A&amp;R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outstanding letters of credit to secure obligations under its workers’ compensation program and certain lease obligations. As of December 31, 2024, the Company was in compliance with all of its debt covenants.</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Company’s revolver, which had a balance of $96.4 million as of </w:t>
      </w:r>
      <w:r>
        <w:rPr>
          <w:rFonts w:ascii="Times New Roman;sans-serif" w:hAnsi="Times New Roman;sans-serif"/>
          <w:b w:val="false"/>
          <w:color w:val="000000"/>
          <w:sz w:val="20"/>
          <w:shd w:fill="FFFFFF" w:val="clear"/>
        </w:rPr>
        <w:t xml:space="preserve">December 31, 2024, </w:t>
      </w:r>
      <w:r>
        <w:rPr>
          <w:rFonts w:ascii="Times New Roman;sans-serif" w:hAnsi="Times New Roman;sans-serif"/>
          <w:b w:val="false"/>
          <w:color w:val="000000"/>
          <w:sz w:val="20"/>
        </w:rPr>
        <w:t xml:space="preserve">bore interest at rates between 7.95% to 10.75% during 2024. The Company’s swingline, which had a balance of $6.6 million as of </w:t>
      </w:r>
      <w:r>
        <w:rPr>
          <w:rFonts w:ascii="Times New Roman;sans-serif" w:hAnsi="Times New Roman;sans-serif"/>
          <w:b w:val="false"/>
          <w:color w:val="000000"/>
          <w:sz w:val="20"/>
          <w:shd w:fill="FFFFFF" w:val="clear"/>
        </w:rPr>
        <w:t xml:space="preserve">December 31, 2024, bore interest at rates between 10.00% and 10.75%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Company recorded interest expense of $8.4 million, $4.8 million and $2.4 million for 2024, 2023 and 2022, respectively, of which $0.6 million, $0.4 million and $0.4 million was amortization of debt issuance costs in each of the respective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receivable, accounts payable and all other current assets and liabilities approximate fair values due to their short-term nature. The carrying amounts of borrowings approximate fair value as the line of credit and borrowings vary with market interest rates and negotiated terms and conditions are consistent with current market rates. The fair value of the Company’s line of credit borrowings is measured using Level 2 inputs.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recognized or disclosed at fair value in the consolidated financial statements on a non-recurring basis include items such as leasehold improvements, property and equipment, operating lease assets, goodwill and other intangible assets. These assets are measured at fair value if determined to be impaired or when acquired. Adjustments to the fair value of assets measured at fair value on a non-recurring basis as of December 31, 2024 and January 2, 2024, are discussed in Note 6, Restaurant Impairments, Closure Costs and Asset Disposals. Assets held for sale are measured at fair value on a non-recurring basis using Level 3 inputs.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are assigned a level within the fair value hierarchy, depending on the source of the inputs into the calculation.</w:t>
      </w:r>
    </w:p>
    <w:p>
      <w:pPr>
        <w:pStyle w:val="TextBody"/>
        <w:bidi w:val="0"/>
        <w:spacing w:lineRule="auto" w:line="288" w:before="160" w:after="160"/>
        <w:jc w:val="both"/>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Unadjusted quoted prices in active markets that are accessible at the measurement date for identical, unrestricted assets or liabilities.</w:t>
      </w:r>
    </w:p>
    <w:p>
      <w:pPr>
        <w:pStyle w:val="TextBody"/>
        <w:bidi w:val="0"/>
        <w:spacing w:lineRule="auto" w:line="288" w:before="160" w:after="160"/>
        <w:jc w:val="both"/>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Quoted prices in markets that are not active or inputs that are observable, either directly or indirectly, for substantially the full term of the asset or liability.</w:t>
      </w:r>
    </w:p>
    <w:p>
      <w:pPr>
        <w:pStyle w:val="TextBody"/>
        <w:bidi w:val="0"/>
        <w:spacing w:lineRule="auto" w:line="288" w:before="160" w:after="160"/>
        <w:jc w:val="both"/>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Prices or valuation techniques which require inputs that are both significant to the fair value measurement and unobservable (</w:t>
      </w:r>
      <w:r>
        <w:rPr>
          <w:rFonts w:ascii="Times New Roman;sans-serif" w:hAnsi="Times New Roman;sans-serif"/>
          <w:b w:val="false"/>
          <w:i/>
          <w:color w:val="000000"/>
          <w:sz w:val="20"/>
        </w:rPr>
        <w:t>i.e.</w:t>
      </w:r>
      <w:r>
        <w:rPr>
          <w:rFonts w:ascii="Times New Roman;sans-serif" w:hAnsi="Times New Roman;sans-serif"/>
          <w:b w:val="false"/>
          <w:color w:val="000000"/>
          <w:sz w:val="20"/>
        </w:rPr>
        <w:t>, supported by little or no market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6. Restaurant Impairments, Closure Costs and Asset Disposals</w:t>
      </w:r>
    </w:p>
    <w:p>
      <w:pPr>
        <w:pStyle w:val="TextBody"/>
        <w:bidi w:val="0"/>
        <w:spacing w:lineRule="auto" w:line="288" w:before="240" w:after="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restaurant impairments, closure costs and asset disposals for fiscal years 2024, 2023 and 2022 (in thousands):</w:t>
      </w:r>
    </w:p>
    <w:tbl>
      <w:tblPr>
        <w:tblW w:w="8756" w:type="dxa"/>
        <w:jc w:val="left"/>
        <w:tblInd w:w="0" w:type="dxa"/>
        <w:tblLayout w:type="fixed"/>
        <w:tblCellMar>
          <w:top w:w="28" w:type="dxa"/>
          <w:left w:w="28" w:type="dxa"/>
          <w:bottom w:w="28" w:type="dxa"/>
          <w:right w:w="28" w:type="dxa"/>
        </w:tblCellMar>
      </w:tblPr>
      <w:tblGrid>
        <w:gridCol w:w="1863"/>
        <w:gridCol w:w="1638"/>
        <w:gridCol w:w="1643"/>
        <w:gridCol w:w="211"/>
        <w:gridCol w:w="721"/>
        <w:gridCol w:w="109"/>
        <w:gridCol w:w="109"/>
        <w:gridCol w:w="109"/>
        <w:gridCol w:w="109"/>
        <w:gridCol w:w="211"/>
        <w:gridCol w:w="616"/>
        <w:gridCol w:w="109"/>
        <w:gridCol w:w="109"/>
        <w:gridCol w:w="109"/>
        <w:gridCol w:w="109"/>
        <w:gridCol w:w="211"/>
        <w:gridCol w:w="61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Restaurant impairments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Closure costs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restaurant impairments, closure costs and asset disposals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60" w:after="24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(1)Restaurant impairments and closure costs in all periods presented above include amounts related to restaurants previously impaired or closed.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Restaurant Impairments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is based on management’s current assessment of the expected future cash flows of its company-owned restaurants based on recent results and other specific market factors. Impairment expense is a Level 3 fair value measure and is determined by comparing the carrying value of restaurant assets to the estimated fair market value of the restaurant assets at resale value.</w:t>
      </w:r>
    </w:p>
    <w:p>
      <w:pPr>
        <w:pStyle w:val="TextBody"/>
        <w:bidi w:val="0"/>
        <w:spacing w:lineRule="auto" w:line="288" w:before="0" w:after="0"/>
        <w:jc w:val="both"/>
        <w:rPr/>
      </w:pPr>
      <w:r>
        <w:rPr>
          <w:rFonts w:ascii="Times New Roman;sans-serif" w:hAnsi="Times New Roman;sans-serif"/>
          <w:b w:val="false"/>
          <w:color w:val="000000"/>
          <w:sz w:val="20"/>
        </w:rPr>
        <w:t xml:space="preserve">During 2024, the Company recorded fixed asset impairment on sixteen restaurants and wrote down lease related assets on seven restaurants. </w:t>
      </w:r>
      <w:r>
        <w:rPr>
          <w:rFonts w:ascii="Times New Roman;sans-serif" w:hAnsi="Times New Roman;sans-serif"/>
          <w:b w:val="false"/>
          <w:color w:val="000000"/>
          <w:sz w:val="20"/>
          <w:shd w:fill="FFFFFF" w:val="clear"/>
        </w:rPr>
        <w:t xml:space="preserve">We performed a detailed review of significantly underperforming restaurants in 2024 and based on this review, recorded impairments on certain restaurants that we believed had fair market values below their net book values. </w:t>
      </w:r>
      <w:r>
        <w:rPr>
          <w:rFonts w:ascii="Times New Roman;sans-serif" w:hAnsi="Times New Roman;sans-serif"/>
          <w:b w:val="false"/>
          <w:color w:val="000000"/>
          <w:sz w:val="20"/>
        </w:rPr>
        <w:t>Additionally, the Company wrote-off its lease related assets on two previously closed restaurants after determining abandonment of its lease on the retail space. In 2023, the Company recognized an impairment charge related to the fixed assets on two restaurants and a write-down of its lease related assets on four restaurants. In 2022, the Company impaired the fixed assets on four restaurants and the lease related assets on two restaurants. All periods include ongoing equipment costs for restaurants previously impaired.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Restaurant Closures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Closure costs during 2024, 2023 and 2022 pertain to ongoing costs of restaurants that closed in previous years, as well as costs related to the closure of thirteen, six, and five restaurants, respectively. These closure costs were offset by gains of $0.6 million in 2024 and $0.2 million in 2023 resulting from the adjustments to liabilities as lease terminations occur. Closure costs can also include fees from real estate advisors and brokers related to terminations of the leases and charges resulting from final adjustments to liabilities as lease terminations occur.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Losses on Disposal of Assets and Other</w:t>
      </w:r>
    </w:p>
    <w:p>
      <w:pPr>
        <w:pStyle w:val="TextBody"/>
        <w:bidi w:val="0"/>
        <w:spacing w:lineRule="auto" w:line="288" w:before="0" w:after="0"/>
        <w:jc w:val="both"/>
        <w:rPr/>
      </w:pPr>
      <w:r>
        <w:rPr>
          <w:rFonts w:ascii="Times New Roman;sans-serif" w:hAnsi="Times New Roman;sans-serif"/>
          <w:b w:val="false"/>
          <w:color w:val="000000"/>
          <w:sz w:val="20"/>
        </w:rPr>
        <w:t xml:space="preserve">All periods include asset disposals in the normal course of business and lease related costs and expenses that the Company is still obligated for. In 2024, the Company recognized a gain of $0.5 million from the sale of six company-owned restaurants to a new franchisee (“DND Sale”). </w:t>
      </w:r>
      <w:r>
        <w:rPr>
          <w:rFonts w:ascii="Times New Roman;sans-serif" w:hAnsi="Times New Roman;sans-serif"/>
          <w:b w:val="false"/>
          <w:color w:val="000000"/>
          <w:sz w:val="20"/>
          <w:shd w:fill="FFFFFF" w:val="clear"/>
        </w:rPr>
        <w:t>In 2022, the Company also recorded $0.3 million loss from the sale of its fifteen company-owned restaurants to a franchisee. L</w:t>
      </w:r>
      <w:r>
        <w:rPr>
          <w:rFonts w:ascii="Times New Roman;sans-serif" w:hAnsi="Times New Roman;sans-serif"/>
          <w:b w:val="false"/>
          <w:color w:val="000000"/>
          <w:sz w:val="20"/>
        </w:rPr>
        <w:t>osses on disposal of assets and other in 2023 were partially offset by $0.2 million gain on insurance proceeds from property damage.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Sublease Expense</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records sublease expense related to leases for which the Company remains obligated. In previous years, the Company has entered into transactions to sell company-owned restaurants to franchisees. The lease agreements for those restaurants were assigned to the franchisee, but in some instances, the Company was not relieved of its primary obligations under the lease, therefore these leases are treated as subleases. The lease income for these restaurants has been recorded in “Franchising royalties and fees, and other” and the offsetting lease expense has been recorded in “Restaurant impairments, closure costs and asset disposals” in the 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280" w:after="160"/>
        <w:jc w:val="both"/>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(benefit) for income taxes are as follows for 2024, 2023 and 2022 (in thousands):</w:t>
      </w:r>
    </w:p>
    <w:tbl>
      <w:tblPr>
        <w:tblW w:w="5963" w:type="dxa"/>
        <w:jc w:val="left"/>
        <w:tblInd w:w="0" w:type="dxa"/>
        <w:tblLayout w:type="fixed"/>
        <w:tblCellMar>
          <w:top w:w="28" w:type="dxa"/>
          <w:left w:w="28" w:type="dxa"/>
          <w:bottom w:w="28" w:type="dxa"/>
          <w:right w:w="28" w:type="dxa"/>
        </w:tblCellMar>
      </w:tblPr>
      <w:tblGrid>
        <w:gridCol w:w="999"/>
        <w:gridCol w:w="878"/>
        <w:gridCol w:w="88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income tax provision (benefit) that would result from applying the federal statutory rate to pre-tax income as shown in the accompanying Consolidated Statements of Operations is as follows for 2024, 2023 and 2022 (in thousands):</w:t>
      </w:r>
    </w:p>
    <w:tbl>
      <w:tblPr>
        <w:tblW w:w="7934"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211"/>
        <w:gridCol w:w="691"/>
        <w:gridCol w:w="271"/>
        <w:gridCol w:w="109"/>
        <w:gridCol w:w="109"/>
        <w:gridCol w:w="109"/>
        <w:gridCol w:w="211"/>
        <w:gridCol w:w="691"/>
        <w:gridCol w:w="271"/>
        <w:gridCol w:w="109"/>
        <w:gridCol w:w="109"/>
        <w:gridCol w:w="109"/>
        <w:gridCol w:w="211"/>
        <w:gridCol w:w="541"/>
        <w:gridCol w:w="316"/>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at federal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benefit, net of federal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rate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write-off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60"/>
        <w:jc w:val="both"/>
        <w:rPr/>
      </w:pPr>
      <w:r>
        <w:rPr/>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deferred tax assets and liabilities are as follows (in thousands):</w:t>
      </w:r>
    </w:p>
    <w:tbl>
      <w:tblPr>
        <w:tblW w:w="5226"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211"/>
        <w:gridCol w:w="826"/>
        <w:gridCol w:w="109"/>
        <w:gridCol w:w="109"/>
        <w:gridCol w:w="109"/>
        <w:gridCol w:w="109"/>
        <w:gridCol w:w="211"/>
        <w:gridCol w:w="82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605" cy="14605"/>
                <wp:effectExtent l="0" t="0" r="0" b="0"/>
                <wp:wrapNone/>
                <wp:docPr id="57" name="Frame5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arise because of the differences in the book and tax bases of certain assets and liabilities. Deferred income tax liabilities and assets consist of the following (in thousands):</w:t>
      </w:r>
    </w:p>
    <w:tbl>
      <w:tblPr>
        <w:tblW w:w="6291" w:type="dxa"/>
        <w:jc w:val="left"/>
        <w:tblInd w:w="0" w:type="dxa"/>
        <w:tblLayout w:type="fixed"/>
        <w:tblCellMar>
          <w:top w:w="28" w:type="dxa"/>
          <w:left w:w="28" w:type="dxa"/>
          <w:bottom w:w="28" w:type="dxa"/>
          <w:right w:w="28" w:type="dxa"/>
        </w:tblCellMar>
      </w:tblPr>
      <w:tblGrid>
        <w:gridCol w:w="1271"/>
        <w:gridCol w:w="1118"/>
        <w:gridCol w:w="1121"/>
        <w:gridCol w:w="109"/>
        <w:gridCol w:w="109"/>
        <w:gridCol w:w="109"/>
        <w:gridCol w:w="211"/>
        <w:gridCol w:w="721"/>
        <w:gridCol w:w="109"/>
        <w:gridCol w:w="109"/>
        <w:gridCol w:w="109"/>
        <w:gridCol w:w="109"/>
        <w:gridCol w:w="211"/>
        <w:gridCol w:w="72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smallwares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deferred tax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ans-serif" w:hAnsi="Times New Roman;sans-serif"/>
          <w:b w:val="false"/>
          <w:color w:val="000000"/>
          <w:sz w:val="20"/>
        </w:rPr>
        <w:t>For the year ended December 31, 2024, the Company determined that it was appropriate to maintain a valuation all</w:t>
      </w:r>
      <w:r>
        <w:rPr>
          <w:rFonts w:ascii="Times New Roman;sans-serif" w:hAnsi="Times New Roman;sans-serif"/>
          <w:b w:val="false"/>
          <w:color w:val="000000"/>
          <w:sz w:val="20"/>
          <w:shd w:fill="FFFFFF" w:val="clear"/>
        </w:rPr>
        <w:t>owance of $60.2 million against U.S. deferred tax assets due to uncertainty regarding the realizability of future tax benefits. T</w:t>
      </w:r>
      <w:r>
        <w:rPr>
          <w:rFonts w:ascii="Times New Roman;sans-serif" w:hAnsi="Times New Roman;sans-serif"/>
          <w:b w:val="false"/>
          <w:color w:val="000000"/>
          <w:sz w:val="20"/>
        </w:rPr>
        <w:t xml:space="preserve">he previously recorded valuation allowance increased during 2023 due to increases in deferred tax assets. </w:t>
      </w:r>
      <w:r>
        <w:rPr>
          <w:rFonts w:ascii="Times New Roman;sans-serif" w:hAnsi="Times New Roman;sans-serif"/>
          <w:b w:val="false"/>
          <w:color w:val="000000"/>
          <w:sz w:val="20"/>
          <w:shd w:fill="FFFFFF" w:val="clear"/>
        </w:rPr>
        <w:t xml:space="preserve">The valuation allowance is recorded against net deferred tax assets, exclusive of indefinite-lived assets and liabilities. The Company will maintain the remaining valuation allowance until there is sufficient evidence to support a full or partial reversal. The reversal of a previously recorded valuation allowance will generally result in a benefit to the effective tax rate. </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As of December 31, 2024 and January 2, 2024, net operating loss (“NOL”) carry forwards for federal income tax purposes of approximately $184.0 million and $180.0 million, respectively, were available to offset future taxable income. Of these amounts, $106.8 million</w:t>
      </w:r>
      <w:r>
        <w:rPr>
          <w:color w:val="000000"/>
        </w:rPr>
        <w:t xml:space="preserve"> </w:t>
      </w:r>
      <w:r>
        <w:rPr>
          <w:rFonts w:ascii="Times New Roman;sans-serif" w:hAnsi="Times New Roman;sans-serif"/>
          <w:b w:val="false"/>
          <w:color w:val="000000"/>
          <w:sz w:val="20"/>
        </w:rPr>
        <w:t xml:space="preserve">is available to offset future taxable income through 2037 and $77.2 million can be carried forward indefinitely, but can only offset 80% of future taxable income. The Internal Revenue Code Section 382 generally limits the utilization of NOLs when there is an ownership change. The Company completed an analysis under Section 382 through December 31, 2024 and determined that there isn’t a current year limitation on utilization of tax attributes. Prior to the utilization of NOLs in the future, the Company will determine whether there are any limitations under Section 382. If such a limitation exists, it is possible that a portion of the NOLs may not be available for use before expiration.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 tax positions are recognized if it is more likely than not that the Company will be able to sustain the tax position taken, and the measurement of the benefit is calculated as the largest amount that is more than 50% likely to be realized upon resolution of the benefit. The Company has analyzed filing positions in all of the federal and state jurisdictions where it is required to file income tax returns, as well as all open tax years in these jurisdictions.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uncertain tax positions for the years ended December 31, 2024 or January 2, 2024. For federal and state income tax purposes, the Company’s 2021 through 2023 tax years remain open for examination by the authorities under the normal three year statute of limitations. Should the Company utilize any of its U.S. or state NOLs, the tax year to which the original loss relates will remain open to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181,000,000 shares of stock authorized, consisting of 150,000,000 shares of Class A common stock, par value $0.01 per share; 30,000,000 shares of Class B common stock, par value $0.01 and 1,000,000 shares of preferred stock, par value $0.01 per share. Preferred stock rights are determined by the Company’s Board of Directors when preferred shares are issued. The following summarizes the rights of common stock: </w:t>
      </w:r>
    </w:p>
    <w:p>
      <w:pPr>
        <w:pStyle w:val="TextBody"/>
        <w:bidi w:val="0"/>
        <w:spacing w:lineRule="auto" w:line="288" w:before="160" w:after="160"/>
        <w:jc w:val="both"/>
        <w:rPr/>
      </w:pPr>
      <w:r>
        <w:rPr>
          <w:rFonts w:ascii="Times New Roman;sans-serif" w:hAnsi="Times New Roman;sans-serif"/>
          <w:b w:val="false"/>
          <w:i/>
          <w:color w:val="000000"/>
          <w:sz w:val="20"/>
        </w:rPr>
        <w:t>Voting</w:t>
      </w:r>
      <w:r>
        <w:rPr>
          <w:color w:val="000000"/>
        </w:rPr>
        <w:t>—</w:t>
      </w:r>
      <w:r>
        <w:rPr>
          <w:rFonts w:ascii="Times New Roman;sans-serif" w:hAnsi="Times New Roman;sans-serif"/>
          <w:b w:val="false"/>
          <w:color w:val="000000"/>
          <w:sz w:val="20"/>
        </w:rPr>
        <w:t xml:space="preserve">Shares of Class A common stock and Class B common stock are entitled to one vote per share in all voting matters, with the exception that Class B common stock does not vote on the election or removal of directors. </w:t>
      </w:r>
    </w:p>
    <w:p>
      <w:pPr>
        <w:pStyle w:val="TextBody"/>
        <w:bidi w:val="0"/>
        <w:spacing w:lineRule="auto" w:line="288" w:before="160" w:after="160"/>
        <w:jc w:val="both"/>
        <w:rPr/>
      </w:pPr>
      <w:r>
        <w:rPr>
          <w:rFonts w:ascii="Times New Roman;sans-serif" w:hAnsi="Times New Roman;sans-serif"/>
          <w:b w:val="false"/>
          <w:i/>
          <w:color w:val="000000"/>
          <w:sz w:val="20"/>
          <w:shd w:fill="FFFFFF" w:val="clear"/>
        </w:rPr>
        <w:t>Conversion</w:t>
      </w:r>
      <w:r>
        <w:rPr>
          <w:color w:val="000000"/>
          <w:shd w:fill="FFFFFF" w:val="clear"/>
        </w:rPr>
        <w:t>—</w:t>
      </w:r>
      <w:r>
        <w:rPr>
          <w:rFonts w:ascii="Times New Roman;sans-serif" w:hAnsi="Times New Roman;sans-serif"/>
          <w:b w:val="false"/>
          <w:color w:val="000000"/>
          <w:sz w:val="20"/>
          <w:shd w:fill="FFFFFF" w:val="clear"/>
        </w:rPr>
        <w:t>Each share of Class B common stock is convertible, at the option of the holder, into one share of Class A common stock.</w:t>
      </w:r>
    </w:p>
    <w:p>
      <w:pPr>
        <w:pStyle w:val="TextBody"/>
        <w:bidi w:val="0"/>
        <w:spacing w:lineRule="auto" w:line="288" w:before="160" w:after="160"/>
        <w:jc w:val="both"/>
        <w:rPr/>
      </w:pPr>
      <w:r>
        <w:rPr>
          <w:rFonts w:ascii="Times New Roman;sans-serif" w:hAnsi="Times New Roman;sans-serif"/>
          <w:b w:val="false"/>
          <w:i/>
          <w:color w:val="000000"/>
          <w:sz w:val="20"/>
        </w:rPr>
        <w:t>Dividends</w:t>
      </w:r>
      <w:r>
        <w:rPr>
          <w:color w:val="000000"/>
        </w:rPr>
        <w:t>—</w:t>
      </w:r>
      <w:r>
        <w:rPr>
          <w:rFonts w:ascii="Times New Roman;sans-serif" w:hAnsi="Times New Roman;sans-serif"/>
          <w:b w:val="false"/>
          <w:color w:val="000000"/>
          <w:sz w:val="20"/>
        </w:rPr>
        <w:t>Class A common stock and Class B common stock share equally if a dividend is declared or paid to either class, but they do not have rights to any special dividend.</w:t>
      </w:r>
    </w:p>
    <w:p>
      <w:pPr>
        <w:pStyle w:val="TextBody"/>
        <w:bidi w:val="0"/>
        <w:spacing w:lineRule="auto" w:line="288" w:before="160" w:after="160"/>
        <w:jc w:val="both"/>
        <w:rPr/>
      </w:pPr>
      <w:r>
        <w:rPr>
          <w:rFonts w:ascii="Times New Roman;sans-serif" w:hAnsi="Times New Roman;sans-serif"/>
          <w:b w:val="false"/>
          <w:i/>
          <w:color w:val="000000"/>
          <w:sz w:val="20"/>
        </w:rPr>
        <w:t>Liquidation, Dissolution or Winding Up</w:t>
      </w:r>
      <w:r>
        <w:rPr>
          <w:color w:val="000000"/>
        </w:rPr>
        <w:t>—</w:t>
      </w:r>
      <w:r>
        <w:rPr>
          <w:rFonts w:ascii="Times New Roman;sans-serif" w:hAnsi="Times New Roman;sans-serif"/>
          <w:b w:val="false"/>
          <w:color w:val="000000"/>
          <w:sz w:val="20"/>
        </w:rPr>
        <w:t>Class A common stock and Class B common stock share equally in distributions in liquidation, dissolution or winding up of the corporation.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On July 26, 2023, the Company announced a share repurchase program (the “2023 Share Repurchase Program”) of up to $5.0 million of the Company’s Class A common stock. Under this program, the Company purchased shares of the Company's Class A common stock in the open market. The Company conducted any open market share repurchase activities in compliance with the safe harbor provisions of Rule 10b-18 of the Exchange Act. During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the Company repurchased 1,731,952 shares of its common stock for approximately $5.0 million in open market transactions at an average price of $2.86 per share. Share repurchases were accounted for under the retirement method and all repurchased shares were retired and cancelled. The excess of the purchase price over the par value of the shares was recorded as a reduction in additional paid-in capital. The 2023 Share Repurchase Program and the remaining diminimus balance was cancelled by the Company’s Board of Directors in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In May of 2023, the Company’s Board of Directors adopted the 2023 Stock Incentive Plan, which was approved at the annual meeting of stockholders on May 16, 2023 (the “2023 Plan”). The 2023 Plan authorizes the grant of non-qualified stock options, incentive stock options, stock appreciation rights (“SARs”), restricted stock, restricted stock units (“RSUs”), performance share units (“PSUs”) and incentive bonuses to employees, officers, non-employee directors and other service providers, as applicable. The Company’s 2013 Stock Incentive Plan, as amended and restated in May of 2013 was terminated. The 2023 Plan i</w:t>
      </w:r>
      <w:r>
        <w:rPr>
          <w:rFonts w:ascii="Times New Roman;sans-serif" w:hAnsi="Times New Roman;sans-serif"/>
          <w:b w:val="false"/>
          <w:color w:val="000000"/>
          <w:sz w:val="20"/>
        </w:rPr>
        <w:t>s administered by the Compensation Committee of the Company’s Board of Directors (the “Board”) or another committee designated by the Board, or in the absence of any such committee, the Board itself (the “administrator”). Stock options are granted at a price determined by the administrator at an exercise price that is not less than the fair market value of the underlying stock on the date of grant. The administrator may also grant SARs and RSUs with terms determined by the administrator in accordance with the 2023 Plan. All share-based awards (except for RSUs) granted under the 2023 Plan have a life of ten years. Most awards vest ratably over four years; however, some have been granted with different vesting schedules. Of the awards outstanding, none have been granted to non-employees (except those granted to non-employee members of the Board of Directors of the Company) under the 2023 Plan. In 2022, the Company launched the General Manager (“GM”) Equity program which granted RSUs to top performing general managers with a three year cliff vesting. The final grant under the GM Equity program was in the first quarter of 2024. At December 31, 2024, approxima</w:t>
      </w:r>
      <w:r>
        <w:rPr>
          <w:rFonts w:ascii="Times New Roman;sans-serif" w:hAnsi="Times New Roman;sans-serif"/>
          <w:b w:val="false"/>
          <w:color w:val="000000"/>
          <w:sz w:val="20"/>
          <w:shd w:fill="FFFFFF" w:val="clear"/>
        </w:rPr>
        <w:t>tely 2.7 million sha</w:t>
      </w:r>
      <w:r>
        <w:rPr>
          <w:rFonts w:ascii="Times New Roman;sans-serif" w:hAnsi="Times New Roman;sans-serif"/>
          <w:b w:val="false"/>
          <w:color w:val="000000"/>
          <w:sz w:val="20"/>
        </w:rPr>
        <w:t>re-based awards were available to be granted under the 2023 Plan.</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July of 2024, the Company’s Board of Directors adopted the 2024 Inducement Plan (the “Inducement Plan”). The Inducement Plan provides for the potential grant of options, stock appreciation rights, restricted stock and restricted stock units, any of which may be performance-based, and for incentive bonuses, which may be paid in cash or stock or a combination thereof, for certain newly hired employees.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approximately </w:t>
      </w:r>
      <w:r>
        <w:rPr>
          <w:rFonts w:ascii="Times New Roman;sans-serif" w:hAnsi="Times New Roman;sans-serif"/>
          <w:b w:val="false"/>
          <w:color w:val="000000"/>
          <w:sz w:val="20"/>
        </w:rPr>
        <w:t>355,405</w:t>
      </w:r>
      <w:r>
        <w:rPr>
          <w:color w:val="000000"/>
          <w:shd w:fill="FFFFFF" w:val="clear"/>
        </w:rPr>
        <w:t xml:space="preserve"> </w:t>
      </w:r>
      <w:r>
        <w:rPr>
          <w:rFonts w:ascii="Times New Roman;sans-serif" w:hAnsi="Times New Roman;sans-serif"/>
          <w:b w:val="false"/>
          <w:color w:val="000000"/>
          <w:sz w:val="20"/>
          <w:shd w:fill="FFFFFF" w:val="clear"/>
        </w:rPr>
        <w:t>share-based awards were available to be granted under the Inducement Plan.</w:t>
      </w:r>
    </w:p>
    <w:p>
      <w:pPr>
        <w:pStyle w:val="TextBody"/>
        <w:bidi w:val="0"/>
        <w:spacing w:lineRule="auto" w:line="288" w:before="160" w:after="160"/>
        <w:jc w:val="both"/>
        <w:rPr/>
      </w:pPr>
      <w:r>
        <w:rPr>
          <w:rFonts w:ascii="Times New Roman;sans-serif" w:hAnsi="Times New Roman;sans-serif"/>
          <w:b w:val="false"/>
          <w:color w:val="000000"/>
          <w:sz w:val="20"/>
        </w:rPr>
        <w:t>Stock-based compensation expense is generally recognized on a straight-line basis over the service period of the awards. In 2024, 2023 and 2022, non-cash stock-based compensation expense of $3.7 million, $4.3 million and $4.4 million, respectively, was included in general and administrative expense. As of December 31, 2024, there was</w:t>
      </w:r>
      <w:r>
        <w:rPr>
          <w:color w:val="000000"/>
          <w:shd w:fill="FFFFFF" w:val="clear"/>
        </w:rPr>
        <w:t xml:space="preserve"> </w:t>
      </w:r>
      <w:r>
        <w:rPr>
          <w:rFonts w:ascii="Times New Roman;sans-serif" w:hAnsi="Times New Roman;sans-serif"/>
          <w:b w:val="false"/>
          <w:color w:val="000000"/>
          <w:sz w:val="20"/>
        </w:rPr>
        <w:t>$5.6 million</w:t>
      </w:r>
      <w:r>
        <w:rPr>
          <w:color w:val="000000"/>
          <w:shd w:fill="FFFFFF" w:val="clear"/>
        </w:rPr>
        <w:t xml:space="preserve"> </w:t>
      </w:r>
      <w:r>
        <w:rPr>
          <w:rFonts w:ascii="Times New Roman;sans-serif" w:hAnsi="Times New Roman;sans-serif"/>
          <w:b w:val="false"/>
          <w:color w:val="000000"/>
          <w:sz w:val="20"/>
        </w:rPr>
        <w:t xml:space="preserve">of unrecognized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160"/>
        <w:jc w:val="both"/>
        <w:rPr/>
      </w:pPr>
      <w:r>
        <w:rPr>
          <w:rFonts w:ascii="Times New Roman;sans-serif" w:hAnsi="Times New Roman;sans-serif"/>
          <w:b w:val="false"/>
          <w:color w:val="000000"/>
          <w:sz w:val="20"/>
        </w:rPr>
        <w:t>costs related to non-vested share-based compensation arrangements granted under the Plan, which is expected to be recogniz</w:t>
      </w:r>
      <w:r>
        <w:rPr>
          <w:rFonts w:ascii="Times New Roman;sans-serif" w:hAnsi="Times New Roman;sans-serif"/>
          <w:b w:val="false"/>
          <w:color w:val="000000"/>
          <w:sz w:val="20"/>
          <w:shd w:fill="FFFFFF" w:val="clear"/>
        </w:rPr>
        <w:t xml:space="preserve">ed over </w:t>
      </w:r>
      <w:r>
        <w:rPr>
          <w:rFonts w:ascii="Times New Roman;sans-serif" w:hAnsi="Times New Roman;sans-serif"/>
          <w:b w:val="false"/>
          <w:color w:val="000000"/>
          <w:sz w:val="20"/>
        </w:rPr>
        <w:t>2.6 years</w:t>
      </w:r>
      <w:r>
        <w:rPr>
          <w:rFonts w:ascii="Times New Roman;sans-serif" w:hAnsi="Times New Roman;sans-serif"/>
          <w:b w:val="false"/>
          <w:color w:val="000000"/>
          <w:sz w:val="20"/>
          <w:shd w:fill="FFFFFF" w:val="clear"/>
        </w:rPr>
        <w:t>.</w:t>
      </w:r>
    </w:p>
    <w:p>
      <w:pPr>
        <w:pStyle w:val="TextBody"/>
        <w:bidi w:val="0"/>
        <w:spacing w:lineRule="auto" w:line="288" w:before="160" w:after="160"/>
        <w:jc w:val="both"/>
        <w:rPr/>
      </w:pPr>
      <w:r>
        <w:rPr>
          <w:rFonts w:ascii="Times New Roman;sans-serif" w:hAnsi="Times New Roman;sans-serif"/>
          <w:b w:val="false"/>
          <w:color w:val="000000"/>
          <w:sz w:val="20"/>
        </w:rPr>
        <w:t>The Company has estimated forfeiture rates that average</w:t>
      </w:r>
      <w:r>
        <w:rPr>
          <w:color w:val="000000"/>
          <w:shd w:fill="FFFFFF" w:val="clear"/>
        </w:rPr>
        <w:t xml:space="preserve"> </w:t>
      </w:r>
      <w:r>
        <w:rPr>
          <w:rFonts w:ascii="Times New Roman;sans-serif" w:hAnsi="Times New Roman;sans-serif"/>
          <w:b w:val="false"/>
          <w:color w:val="000000"/>
          <w:sz w:val="20"/>
          <w:shd w:fill="FFFFFF" w:val="clear"/>
        </w:rPr>
        <w:t>26% b</w:t>
      </w:r>
      <w:r>
        <w:rPr>
          <w:rFonts w:ascii="Times New Roman;sans-serif" w:hAnsi="Times New Roman;sans-serif"/>
          <w:b w:val="false"/>
          <w:color w:val="000000"/>
          <w:sz w:val="20"/>
        </w:rPr>
        <w:t>ased upon the class of employees receiving stock-based compensation in its calculation of stock-based compensation expense for the year ended December 31, 2024. These estimates are based on historical forfeiture behavior exhibited by employees of the Company.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The estimated fair value of each option granted is calculated using the Black-Scholes option-pricing model. Expected volatilities are based on the Company’s historical data and implied volatility. The Company uses historical data to estimate expected employee forfeitures of stock options. The expected life of options granted is management’s best estimate using recent and expected transactions. The risk-free rate for periods within the expected life of the option is based on the U.S. Treasury yield curve in effect at the time of grant. In </w:t>
      </w:r>
      <w:r>
        <w:rPr>
          <w:rFonts w:ascii="Times New Roman;sans-serif" w:hAnsi="Times New Roman;sans-serif"/>
          <w:b w:val="false"/>
          <w:color w:val="000000"/>
          <w:sz w:val="20"/>
        </w:rPr>
        <w:t xml:space="preserve">2024, the Company granted 250,000 performance-based stock options to its chief executive officer, which will vest and become exercisable on the third anniversary of the grant date subject to the achievement of stock price target conditions at the end of the three-year performance period. The fair value of each option share was $1.05 at grant date and calculated using a Monte Carlo valuation model. </w:t>
      </w:r>
      <w:r>
        <w:rPr>
          <w:rFonts w:ascii="Times New Roman;sans-serif" w:hAnsi="Times New Roman;sans-serif"/>
          <w:b w:val="false"/>
          <w:color w:val="000000"/>
          <w:sz w:val="20"/>
          <w:shd w:fill="FFFFFF" w:val="clear"/>
        </w:rPr>
        <w:t>The Company did</w:t>
      </w:r>
      <w:r>
        <w:rPr>
          <w:color w:val="000000"/>
        </w:rPr>
        <w:t xml:space="preserve"> </w:t>
      </w:r>
      <w:r>
        <w:rPr>
          <w:rFonts w:ascii="Times New Roman;sans-serif" w:hAnsi="Times New Roman;sans-serif"/>
          <w:b w:val="false"/>
          <w:color w:val="000000"/>
          <w:sz w:val="20"/>
          <w:shd w:fill="FFFFFF" w:val="clear"/>
        </w:rPr>
        <w:t xml:space="preserve">not grant any options in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p>
      <w:pPr>
        <w:pStyle w:val="TextBody"/>
        <w:bidi w:val="0"/>
        <w:spacing w:lineRule="auto" w:line="288" w:before="160" w:after="1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aggregate option award activity under the Plan as of December 31, 2024, and changes during the fiscal year then ended is presented below:</w:t>
      </w:r>
    </w:p>
    <w:tbl>
      <w:tblPr>
        <w:tblW w:w="10205" w:type="dxa"/>
        <w:jc w:val="left"/>
        <w:tblInd w:w="0" w:type="dxa"/>
        <w:tblLayout w:type="fixed"/>
        <w:tblCellMar>
          <w:top w:w="28" w:type="dxa"/>
          <w:left w:w="28" w:type="dxa"/>
          <w:bottom w:w="28" w:type="dxa"/>
          <w:right w:w="28" w:type="dxa"/>
        </w:tblCellMar>
      </w:tblPr>
      <w:tblGrid>
        <w:gridCol w:w="909"/>
        <w:gridCol w:w="801"/>
        <w:gridCol w:w="802"/>
        <w:gridCol w:w="109"/>
        <w:gridCol w:w="109"/>
        <w:gridCol w:w="109"/>
        <w:gridCol w:w="439"/>
        <w:gridCol w:w="441"/>
        <w:gridCol w:w="221"/>
        <w:gridCol w:w="109"/>
        <w:gridCol w:w="109"/>
        <w:gridCol w:w="109"/>
        <w:gridCol w:w="239"/>
        <w:gridCol w:w="699"/>
        <w:gridCol w:w="123"/>
        <w:gridCol w:w="109"/>
        <w:gridCol w:w="109"/>
        <w:gridCol w:w="109"/>
        <w:gridCol w:w="977"/>
        <w:gridCol w:w="977"/>
        <w:gridCol w:w="978"/>
        <w:gridCol w:w="109"/>
        <w:gridCol w:w="109"/>
        <w:gridCol w:w="109"/>
        <w:gridCol w:w="350"/>
        <w:gridCol w:w="677"/>
        <w:gridCol w:w="264"/>
      </w:tblGrid>
      <w:tr>
        <w:trPr/>
        <w:tc>
          <w:tcPr>
            <w:tcW w:w="9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 (1)</w:t>
              <w:br/>
              <w:t>(in thousands)</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Outstanding—January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(460,920)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450,906 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450,906 </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6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(1)Aggregate intrinsic value represents the amount by which fair value of the Company’s stock exceeds the exercise price of the option as of December 31, 2024. </w:t>
      </w:r>
    </w:p>
    <w:p>
      <w:pPr>
        <w:pStyle w:val="TextBody"/>
        <w:bidi w:val="0"/>
        <w:spacing w:lineRule="auto" w:line="288" w:before="240" w:after="240"/>
        <w:jc w:val="both"/>
        <w:rPr/>
      </w:pPr>
      <w:r>
        <w:rPr>
          <w:rFonts w:ascii="Times New Roman;sans-serif" w:hAnsi="Times New Roman;sans-serif"/>
          <w:b w:val="false"/>
          <w:color w:val="000000"/>
          <w:sz w:val="20"/>
        </w:rPr>
        <w:t>No option shares vested in 2024. The Company had 34,980 and 57,147 options that vested in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 respectively. These awards had a total estimated fair value of $0.1 million, and $0.3 million at the date of vesting during the fiscal years ended January 2, 2024 and January 3, 2023,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60" w:after="240"/>
        <w:jc w:val="both"/>
        <w:rPr/>
      </w:pPr>
      <w:r>
        <w:rPr>
          <w:rFonts w:ascii="Times New Roman;sans-serif" w:hAnsi="Times New Roman;sans-serif"/>
          <w:b w:val="false"/>
          <w:color w:val="000000"/>
          <w:sz w:val="20"/>
        </w:rPr>
        <w:t>The Company grants PSUs to its executive officers under the Plan. These PSU awards are earned over a three-year performance period subject to the achievement of certain target performance conditions. The number of shares eligible to vest ranges from 0% to 200%, however no share shall vest if the defined minimum targets are not met. During fiscal years 2019 to 2022, PSUs were granted based on target performance measures over the Company’s comparable sales growth and Adjusted EBITDA (“Financial PSU”). Additionally, during fiscal y</w:t>
      </w:r>
      <w:r>
        <w:rPr>
          <w:rFonts w:ascii="Times New Roman;sans-serif" w:hAnsi="Times New Roman;sans-serif"/>
          <w:b w:val="false"/>
          <w:color w:val="000000"/>
          <w:sz w:val="20"/>
          <w:shd w:fill="FFFFFF" w:val="clear"/>
        </w:rPr>
        <w:t>ears 2021 to 2024, the Company also awarded PSUs based on a total shareholder return based metric (“TSR”), which compares the</w:t>
      </w:r>
      <w:r>
        <w:rPr>
          <w:color w:val="000000"/>
        </w:rPr>
        <w:t xml:space="preserve"> </w:t>
      </w:r>
      <w:r>
        <w:rPr>
          <w:rFonts w:ascii="Times New Roman;sans-serif" w:hAnsi="Times New Roman;sans-serif"/>
          <w:b w:val="false"/>
          <w:color w:val="000000"/>
          <w:sz w:val="20"/>
        </w:rPr>
        <w:t>stock price of the Company’s shares to a group of peer companies.</w:t>
      </w:r>
    </w:p>
    <w:p>
      <w:pPr>
        <w:pStyle w:val="TextBody"/>
        <w:bidi w:val="0"/>
        <w:spacing w:lineRule="auto" w:line="288" w:before="16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the Financial PSUs has a fair value equal to the Company’s stock price at the date of grant while the fair value of each share of TSR is determined using a Monte Carlo valuation model. The Financial PSU stock-based compensation expense is recognized during the three-year period and is adjusted for the number of shares that are expected to vest based on the probability of achieving the targeted performance measures. Stock-based compensation expense for TSR awards is recognized straight-line over the term of the award. PSUs remain unvested until the end of the performance period and through the post-performance holding period of three to six months (“vest date”). For TSR awards, there is a mandatory post-vest holding period of one year. PSUs are forfeited in the event of termination prior to the vest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240" w:after="24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 xml:space="preserve">he stock-based compensation expense recognized from the PSUs amounted to </w:t>
      </w:r>
      <w:r>
        <w:rPr>
          <w:rFonts w:ascii="Times New Roman;sans-serif" w:hAnsi="Times New Roman;sans-serif"/>
          <w:b w:val="false"/>
          <w:color w:val="000000"/>
          <w:sz w:val="20"/>
        </w:rPr>
        <w:t>$0.2 million, $(0.6) million and</w:t>
      </w:r>
      <w:r>
        <w:rPr>
          <w:color w:val="000000"/>
          <w:shd w:fill="FFFFFF" w:val="clear"/>
        </w:rPr>
        <w:t xml:space="preserve"> </w:t>
      </w:r>
      <w:r>
        <w:rPr>
          <w:rFonts w:ascii="Times New Roman;sans-serif" w:hAnsi="Times New Roman;sans-serif"/>
          <w:b w:val="false"/>
          <w:color w:val="000000"/>
          <w:sz w:val="20"/>
          <w:shd w:fill="FFFFFF" w:val="clear"/>
        </w:rPr>
        <w:t xml:space="preserve">$0.9 million during 2024, 2023 and 2022, respectively. In 2023, the Company recorded a reversal of previously recognized compensation costs due to forfeitures of </w:t>
      </w:r>
      <w:r>
        <w:rPr>
          <w:rFonts w:ascii="Times New Roman;sans-serif" w:hAnsi="Times New Roman;sans-serif"/>
          <w:b w:val="false"/>
          <w:color w:val="000000"/>
          <w:sz w:val="20"/>
        </w:rPr>
        <w:t xml:space="preserve">$0.3 million </w:t>
      </w:r>
      <w:r>
        <w:rPr>
          <w:rFonts w:ascii="Times New Roman;sans-serif" w:hAnsi="Times New Roman;sans-serif"/>
          <w:b w:val="false"/>
          <w:color w:val="000000"/>
          <w:sz w:val="20"/>
          <w:shd w:fill="FFFFFF" w:val="clear"/>
        </w:rPr>
        <w:t xml:space="preserve">related to executive officer departures and </w:t>
      </w:r>
      <w:r>
        <w:rPr>
          <w:rFonts w:ascii="Times New Roman;sans-serif" w:hAnsi="Times New Roman;sans-serif"/>
          <w:b w:val="false"/>
          <w:color w:val="000000"/>
          <w:sz w:val="20"/>
        </w:rPr>
        <w:t>$0.5 million reversal due to</w:t>
      </w:r>
      <w:r>
        <w:rPr>
          <w:color w:val="000000"/>
          <w:shd w:fill="FFFFFF" w:val="clear"/>
        </w:rPr>
        <w:t xml:space="preserve"> </w:t>
      </w:r>
      <w:r>
        <w:rPr>
          <w:rFonts w:ascii="Times New Roman;sans-serif" w:hAnsi="Times New Roman;sans-serif"/>
          <w:b w:val="false"/>
          <w:color w:val="000000"/>
          <w:sz w:val="20"/>
          <w:shd w:fill="FFFFFF" w:val="clear"/>
        </w:rPr>
        <w:t>target performance measures not being met</w:t>
      </w:r>
      <w:r>
        <w:rPr>
          <w:rFonts w:ascii="Times New Roman;sans-serif" w:hAnsi="Times New Roman;sans-serif"/>
          <w:b w:val="false"/>
          <w:color w:val="000000"/>
          <w:sz w:val="20"/>
        </w:rPr>
        <w:t xml:space="preserve">. </w:t>
      </w:r>
    </w:p>
    <w:p>
      <w:pPr>
        <w:pStyle w:val="TextBody"/>
        <w:bidi w:val="0"/>
        <w:spacing w:lineRule="auto" w:line="288" w:before="60" w:after="283"/>
        <w:jc w:val="both"/>
        <w:rPr/>
      </w:pPr>
      <w:r>
        <w:rPr>
          <w:rFonts w:ascii="Times New Roman;sans-serif" w:hAnsi="Times New Roman;sans-serif"/>
          <w:b/>
          <w:i/>
          <w:color w:val="000000"/>
          <w:sz w:val="20"/>
        </w:rPr>
        <w:t>Restricte</w:t>
      </w:r>
      <w:r>
        <w:rPr>
          <w:rFonts w:ascii="Times New Roman;sans-serif" w:hAnsi="Times New Roman;sans-serif"/>
          <w:b/>
          <w:i/>
          <w:color w:val="000000"/>
          <w:sz w:val="20"/>
          <w:shd w:fill="FFFFFF" w:val="clear"/>
        </w:rPr>
        <w:t>d Stock Units</w:t>
      </w:r>
    </w:p>
    <w:p>
      <w:pPr>
        <w:pStyle w:val="TextBody"/>
        <w:bidi w:val="0"/>
        <w:spacing w:lineRule="auto" w:line="288" w:before="60" w:after="283"/>
        <w:jc w:val="both"/>
        <w:rPr/>
      </w:pPr>
      <w:r>
        <w:rPr>
          <w:rFonts w:ascii="Times New Roman;sans-serif" w:hAnsi="Times New Roman;sans-serif"/>
          <w:b w:val="false"/>
          <w:color w:val="000000"/>
          <w:sz w:val="20"/>
          <w:shd w:fill="FFFFFF" w:val="clear"/>
        </w:rPr>
        <w:t xml:space="preserve">A summary of the status of the Company’s non-vested restricted stock </w:t>
      </w:r>
      <w:r>
        <w:rPr>
          <w:rFonts w:ascii="Times New Roman;sans-serif" w:hAnsi="Times New Roman;sans-serif"/>
          <w:b w:val="false"/>
          <w:color w:val="000000"/>
          <w:sz w:val="20"/>
        </w:rPr>
        <w:t xml:space="preserve">units as of December 31, 2024 and changes during the year then ended is presented below: </w:t>
      </w:r>
    </w:p>
    <w:tbl>
      <w:tblPr>
        <w:tblW w:w="6610" w:type="dxa"/>
        <w:jc w:val="center"/>
        <w:tblInd w:w="0" w:type="dxa"/>
        <w:tblLayout w:type="fixed"/>
        <w:tblCellMar>
          <w:top w:w="28" w:type="dxa"/>
          <w:left w:w="28" w:type="dxa"/>
          <w:bottom w:w="28" w:type="dxa"/>
          <w:right w:w="28" w:type="dxa"/>
        </w:tblCellMar>
      </w:tblPr>
      <w:tblGrid>
        <w:gridCol w:w="1036"/>
        <w:gridCol w:w="913"/>
        <w:gridCol w:w="915"/>
        <w:gridCol w:w="109"/>
        <w:gridCol w:w="109"/>
        <w:gridCol w:w="109"/>
        <w:gridCol w:w="488"/>
        <w:gridCol w:w="488"/>
        <w:gridCol w:w="241"/>
        <w:gridCol w:w="109"/>
        <w:gridCol w:w="109"/>
        <w:gridCol w:w="109"/>
        <w:gridCol w:w="450"/>
        <w:gridCol w:w="1092"/>
        <w:gridCol w:w="333"/>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Outstanding—January 2,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2,838,765 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3,463,957 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pPr>
      <w:r>
        <w:rPr>
          <w:rFonts w:ascii="Times New Roman;sans-serif" w:hAnsi="Times New Roman;sans-serif"/>
          <w:b w:val="false"/>
          <w:color w:val="000000"/>
          <w:sz w:val="20"/>
        </w:rPr>
        <w:t>The Company had 783,269, 793,739 and 393,062 restricted stock units, including 23,368, 167,662 and 46,949 PSUs, that vested in 2024,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 respectively. These units had a total estimated fair value of $1.5 million, $3.4 million and $2.2 million at the date of vesting during the fiscal years ended December 31, 2024, January 2, 2024 and January 3, 2023, respectively.</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10. (Loss) Earnings Per Share</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 (“EPS”) is calculated by dividing net (loss) income available to common shareholders by the weighted-average number of shares of common stock outstanding during each period. Diluted EPS is calculated using net (loss) income available to common stockholders divided by diluted weighted-average shares of common stock outstanding during each period. Potentially dilutive securities include shares of common stock underlying stock options and restricted common stock. Diluted EPS considers the impact of potentially dilutive securities except in periods in which there is a loss because the inclusion of the potential common shares would have an anti-dilutive effect.</w:t>
      </w:r>
    </w:p>
    <w:p>
      <w:pPr>
        <w:pStyle w:val="TextBody"/>
        <w:bidi w:val="0"/>
        <w:spacing w:lineRule="auto" w:line="288" w:before="3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computations of basic and diluted EPS (in thousands, except share and per share data):</w:t>
      </w:r>
    </w:p>
    <w:tbl>
      <w:tblPr>
        <w:tblW w:w="9231" w:type="dxa"/>
        <w:jc w:val="left"/>
        <w:tblInd w:w="0" w:type="dxa"/>
        <w:tblLayout w:type="fixed"/>
        <w:tblCellMar>
          <w:top w:w="28" w:type="dxa"/>
          <w:left w:w="28" w:type="dxa"/>
          <w:bottom w:w="28" w:type="dxa"/>
          <w:right w:w="28" w:type="dxa"/>
        </w:tblCellMar>
      </w:tblPr>
      <w:tblGrid>
        <w:gridCol w:w="1680"/>
        <w:gridCol w:w="1476"/>
        <w:gridCol w:w="1479"/>
        <w:gridCol w:w="109"/>
        <w:gridCol w:w="109"/>
        <w:gridCol w:w="109"/>
        <w:gridCol w:w="240"/>
        <w:gridCol w:w="841"/>
        <w:gridCol w:w="109"/>
        <w:gridCol w:w="109"/>
        <w:gridCol w:w="109"/>
        <w:gridCol w:w="109"/>
        <w:gridCol w:w="270"/>
        <w:gridCol w:w="811"/>
        <w:gridCol w:w="109"/>
        <w:gridCol w:w="109"/>
        <w:gridCol w:w="109"/>
        <w:gridCol w:w="109"/>
        <w:gridCol w:w="270"/>
        <w:gridCol w:w="81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45,913,787 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45,465,727 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45,913,787 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ans-serif" w:hAnsi="Times New Roman;sans-serif"/>
          <w:b w:val="false"/>
          <w:color w:val="000000"/>
          <w:sz w:val="20"/>
        </w:rPr>
        <w:t>The Company computes the effect of dilutive securities using the treasury stock method and average market prices during the period. Potential common shares are excluded from the computation of diluted earnings per share when the effect would be anti-dilutive. Shares issuable on the vesting or exercise of share-based awards or exercise of outstanding warrants were excluded from th</w:t>
      </w:r>
      <w:r>
        <w:rPr>
          <w:rFonts w:ascii="Times New Roman;sans-serif" w:hAnsi="Times New Roman;sans-serif"/>
          <w:b w:val="false"/>
          <w:color w:val="000000"/>
          <w:sz w:val="20"/>
          <w:shd w:fill="FFFFFF" w:val="clear"/>
        </w:rPr>
        <w:t>e calculation of diluted loss per share because the effect of their inclusion would have been anti-dilutive totaled</w:t>
      </w:r>
      <w:r>
        <w:rPr>
          <w:color w:val="000000"/>
        </w:rPr>
        <w:t xml:space="preserve"> </w:t>
      </w:r>
      <w:r>
        <w:rPr>
          <w:rFonts w:ascii="Times New Roman;sans-serif" w:hAnsi="Times New Roman;sans-serif"/>
          <w:b w:val="false"/>
          <w:color w:val="000000"/>
          <w:sz w:val="20"/>
        </w:rPr>
        <w:t>3,770,218, 3,458,622 an</w:t>
      </w:r>
      <w:r>
        <w:rPr>
          <w:rFonts w:ascii="Times New Roman;sans-serif" w:hAnsi="Times New Roman;sans-serif"/>
          <w:b w:val="false"/>
          <w:color w:val="000000"/>
          <w:sz w:val="20"/>
          <w:shd w:fill="FFFFFF" w:val="clear"/>
        </w:rPr>
        <w:t xml:space="preserve">d 2,402,238 for 2024,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Defined Contribution Plan</w:t>
      </w:r>
    </w:p>
    <w:p>
      <w:pPr>
        <w:pStyle w:val="TextBody"/>
        <w:bidi w:val="0"/>
        <w:spacing w:lineRule="auto" w:line="288" w:before="160" w:after="160"/>
        <w:jc w:val="both"/>
        <w:rPr/>
      </w:pPr>
      <w:r>
        <w:rPr>
          <w:rFonts w:ascii="Times New Roman;sans-serif" w:hAnsi="Times New Roman;sans-serif"/>
          <w:b w:val="false"/>
          <w:color w:val="000000"/>
          <w:sz w:val="20"/>
        </w:rPr>
        <w:t>In October 2003, the Company adopted a defined contribution plan, The Noodles &amp; Company 401(k) Plan (the “401(k) Plan”). Company employees aged 21 or older, are eligible to participate in the 401(k) Plan beginning on the first day of the calendar month following 30 days of employment. Under the provisions of the 401(k) Plan, the Company may, at its discretion, make contributions to the 4</w:t>
      </w:r>
      <w:r>
        <w:rPr>
          <w:rFonts w:ascii="Times New Roman;sans-serif" w:hAnsi="Times New Roman;sans-serif"/>
          <w:b w:val="false"/>
          <w:color w:val="000000"/>
          <w:sz w:val="20"/>
          <w:shd w:fill="FFFFFF" w:val="clear"/>
        </w:rPr>
        <w:t xml:space="preserve">01(k) Plan. Participants are 100% vested in their own contributions. In 2019, the board of directors authorized matching contributions equal to 25% of the first 4% of compensation that is deferred by the participant. The Company recognized matching contribution expense of </w:t>
      </w:r>
      <w:r>
        <w:rPr>
          <w:rFonts w:ascii="Times New Roman;sans-serif" w:hAnsi="Times New Roman;sans-serif"/>
          <w:b w:val="false"/>
          <w:color w:val="000000"/>
          <w:sz w:val="20"/>
        </w:rPr>
        <w:t>$0.4 million</w:t>
      </w:r>
      <w:r>
        <w:rPr>
          <w:color w:val="000000"/>
          <w:shd w:fill="FFFFFF" w:val="clear"/>
        </w:rPr>
        <w:t xml:space="preserve"> </w:t>
      </w:r>
      <w:r>
        <w:rPr>
          <w:rFonts w:ascii="Times New Roman;sans-serif" w:hAnsi="Times New Roman;sans-serif"/>
          <w:b w:val="false"/>
          <w:color w:val="000000"/>
          <w:sz w:val="20"/>
          <w:shd w:fill="FFFFFF" w:val="clear"/>
        </w:rPr>
        <w:t xml:space="preserve">in each of the fiscal years 2024, 2023 and 2022, respectively.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Compensation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deferred compensation plan, under which compensation deferrals began in 2013, is a non-qualified deferred compensation plan which allows highly compensated employees to defer a portion of their base salary and variable compensation, including 401(k) refund, each plan year. To offset its obligation, the Company holds a portfolio of mutual funds in a Rabbi Trust. As of December 31, 2024 and January 2, 2024, $1.2 million and $1.2 million, respectively, were included in other assets, net, which represents the value of the mutual funds, and $1.2 million and $1.2 million, respectively, were included in accrued expenses and other current liabilities and other long-term liabilities, which represents the carrying value of the liability for deferred compensation.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In 2013, the Company adopted an Employee Stock Purchase Plan (the “ESPP”) under which eligible team members may voluntarily contribute up to 15% of their salaries, subject to limitations, to purchase common stock at a price equal to 85% of the fair market value of a share of the Company’s common stock on the first day of each offering period or 85% of the fair market value of a share of the Company’s common stock on the last day of each offering period, whichever amount is less. In general, all non-highly compensated employees who have been employed by the Company for at least 30 days prior to the offering period and who are regularly scheduled to work more than 20 hours per week and for more than five months in any calendar year, are eligible to participate in the ESPP which operates in-line with the Company’s fiscal quarters. A total of 750,000 shares of common stock are available for issuance under the ESPP. The Company has issued a total of 489,989 shares under this plan, of which 151,403 shares were issued during 2024. A total of 260,011 shares remain available for future issuance. For 2024, in accordance with the guidance for accounting for stock compensation, the Company estimated the fair value of the stock purchase plan using the Black-Scholes multiple-option pricing model. The average assumptions used in the model included a 4.41% risk-free interest rate; 0.25 years expected life; expected volatility of 77.4%; and a zero percent dividend yield. The weighted average fair value per share at grant date was $0.26. In 2024, the Company recognized $43,000 of compensation expense related to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restaurant facilities, office space and certain equipment that expire on various dates through September 2043. Lease terms for restaurants in traditional shopping centers generally include a base term of 10 years, with options to extend these leases for additional periods of five to 15 years.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typically contain rent escalations over the lease term. The Company recognizes expense for these leases on a straight-line basis over the lease term. Additionally, tenant incentives used to fund leasehold improvements are recognized when earned and reduce the right-of-use asset related to the lease. These are amortized through the right-of-use asset as reductions of expense over the lease term. Total rent expense for operating leases for 2024, 2023 and 2022 was approximately $39.4 million, $39.2 million and $38.5 million, respectively.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leases include rent escalations based on inflation indexes and fair market value adjustments. Certain leases contain contingent rental provisions that include a fixed base rent plus an additional percentage of the restaurant’s sales in excess of stipulated amounts. Lease expense associated with rent escalation and contingent rental provisions is not material and is included within operating lease cost. Operating lease liabilities are calculated using the prevailing index or rate at lease commencement. Subsequent escalations in the index or rate and contingent rental payments are recognized as variable lease expenses. Our lease agreements do not contain any material residual value guarantees or material restrictive covenants.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account for lease and non-lease components as a single component for substantially all lease 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most of the Company’s leases do not provide an implicit rate, the Company used its incremental borrowing rate based on the information available at commencement date in determining the present value of lease payments.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market trend of the trade area affected certain of our restaurant operating results and the underlying asset values of the restaurant lease. The Company recorded right-of-use asset impairment charges, which reduced the carrying value of operating lease assets to their respective estimated fair value by $1.7 million, $1.6 million, and $0.2 million in 2024,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9051" w:type="dxa"/>
        <w:jc w:val="center"/>
        <w:tblInd w:w="0" w:type="dxa"/>
        <w:tblLayout w:type="fixed"/>
        <w:tblCellMar>
          <w:top w:w="28" w:type="dxa"/>
          <w:left w:w="28" w:type="dxa"/>
          <w:bottom w:w="28" w:type="dxa"/>
          <w:right w:w="28" w:type="dxa"/>
        </w:tblCellMar>
      </w:tblPr>
      <w:tblGrid>
        <w:gridCol w:w="813"/>
        <w:gridCol w:w="715"/>
        <w:gridCol w:w="722"/>
        <w:gridCol w:w="1265"/>
        <w:gridCol w:w="1265"/>
        <w:gridCol w:w="1280"/>
        <w:gridCol w:w="109"/>
        <w:gridCol w:w="109"/>
        <w:gridCol w:w="109"/>
        <w:gridCol w:w="211"/>
        <w:gridCol w:w="826"/>
        <w:gridCol w:w="109"/>
        <w:gridCol w:w="109"/>
        <w:gridCol w:w="109"/>
        <w:gridCol w:w="109"/>
        <w:gridCol w:w="211"/>
        <w:gridCol w:w="826"/>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leased assets</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are as follows (in thousands):</w:t>
      </w:r>
    </w:p>
    <w:tbl>
      <w:tblPr>
        <w:tblW w:w="10205" w:type="dxa"/>
        <w:jc w:val="center"/>
        <w:tblInd w:w="0" w:type="dxa"/>
        <w:tblLayout w:type="fixed"/>
        <w:tblCellMar>
          <w:top w:w="28" w:type="dxa"/>
          <w:left w:w="28" w:type="dxa"/>
          <w:bottom w:w="28" w:type="dxa"/>
          <w:right w:w="28" w:type="dxa"/>
        </w:tblCellMar>
      </w:tblPr>
      <w:tblGrid>
        <w:gridCol w:w="700"/>
        <w:gridCol w:w="467"/>
        <w:gridCol w:w="471"/>
        <w:gridCol w:w="1328"/>
        <w:gridCol w:w="1328"/>
        <w:gridCol w:w="1350"/>
        <w:gridCol w:w="109"/>
        <w:gridCol w:w="109"/>
        <w:gridCol w:w="109"/>
        <w:gridCol w:w="249"/>
        <w:gridCol w:w="852"/>
        <w:gridCol w:w="128"/>
        <w:gridCol w:w="109"/>
        <w:gridCol w:w="109"/>
        <w:gridCol w:w="109"/>
        <w:gridCol w:w="233"/>
        <w:gridCol w:w="797"/>
        <w:gridCol w:w="120"/>
        <w:gridCol w:w="109"/>
        <w:gridCol w:w="109"/>
        <w:gridCol w:w="109"/>
        <w:gridCol w:w="232"/>
        <w:gridCol w:w="794"/>
        <w:gridCol w:w="175"/>
      </w:tblGrid>
      <w:tr>
        <w:trPr/>
        <w:tc>
          <w:tcPr>
            <w:tcW w:w="70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56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 2023</w:t>
            </w:r>
          </w:p>
        </w:tc>
      </w:tr>
      <w:tr>
        <w:trPr/>
        <w:tc>
          <w:tcPr>
            <w:tcW w:w="1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4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other restaurant operating costs, general and administrative expenses, and pre-opening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Closure costs, loss on disposals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 net</w:t>
            </w:r>
          </w:p>
        </w:tc>
        <w:tc>
          <w:tcPr>
            <w:tcW w:w="4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required under existing leases as of December 31, 2024 are as follows (in thousands):</w:t>
      </w:r>
    </w:p>
    <w:tbl>
      <w:tblPr>
        <w:tblW w:w="7079" w:type="dxa"/>
        <w:jc w:val="center"/>
        <w:tblInd w:w="0" w:type="dxa"/>
        <w:tblLayout w:type="fixed"/>
        <w:tblCellMar>
          <w:top w:w="28" w:type="dxa"/>
          <w:left w:w="28" w:type="dxa"/>
          <w:bottom w:w="28" w:type="dxa"/>
          <w:right w:w="28" w:type="dxa"/>
        </w:tblCellMar>
      </w:tblPr>
      <w:tblGrid>
        <w:gridCol w:w="970"/>
        <w:gridCol w:w="852"/>
        <w:gridCol w:w="863"/>
        <w:gridCol w:w="251"/>
        <w:gridCol w:w="984"/>
        <w:gridCol w:w="129"/>
        <w:gridCol w:w="109"/>
        <w:gridCol w:w="109"/>
        <w:gridCol w:w="109"/>
        <w:gridCol w:w="267"/>
        <w:gridCol w:w="780"/>
        <w:gridCol w:w="138"/>
        <w:gridCol w:w="109"/>
        <w:gridCol w:w="109"/>
        <w:gridCol w:w="109"/>
        <w:gridCol w:w="211"/>
        <w:gridCol w:w="82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188,778 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Operating lease payments includ</w:t>
      </w:r>
      <w:r>
        <w:rPr>
          <w:rFonts w:ascii="Times New Roman;sans-serif" w:hAnsi="Times New Roman;sans-serif"/>
          <w:b w:val="false"/>
          <w:color w:val="000000"/>
          <w:sz w:val="20"/>
          <w:shd w:fill="FFFFFF" w:val="clear"/>
        </w:rPr>
        <w:t xml:space="preserve">e </w:t>
      </w:r>
      <w:r>
        <w:rPr>
          <w:rFonts w:ascii="Times New Roman;sans-serif" w:hAnsi="Times New Roman;sans-serif"/>
          <w:b w:val="false"/>
          <w:color w:val="000000"/>
          <w:sz w:val="20"/>
        </w:rPr>
        <w:t>$66.7 million</w:t>
      </w:r>
      <w:r>
        <w:rPr>
          <w:color w:val="000000"/>
          <w:shd w:fill="FFFFFF" w:val="clear"/>
        </w:rPr>
        <w:t xml:space="preserve"> </w:t>
      </w:r>
      <w:r>
        <w:rPr>
          <w:rFonts w:ascii="Times New Roman;sans-serif" w:hAnsi="Times New Roman;sans-serif"/>
          <w:b w:val="false"/>
          <w:color w:val="000000"/>
          <w:sz w:val="20"/>
          <w:shd w:fill="FFFFFF" w:val="clear"/>
        </w:rPr>
        <w:t>relate</w:t>
      </w:r>
      <w:r>
        <w:rPr>
          <w:rFonts w:ascii="Times New Roman;sans-serif" w:hAnsi="Times New Roman;sans-serif"/>
          <w:b w:val="false"/>
          <w:color w:val="000000"/>
          <w:sz w:val="20"/>
        </w:rPr>
        <w:t>d to options to extend lease terms that are reasonably certain of being exercised and exclude $1.1 million of legally binding minimum lease payments for leases signed but not yet commenced.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term and discount rate are as follows:</w:t>
      </w:r>
    </w:p>
    <w:tbl>
      <w:tblPr>
        <w:tblW w:w="7211" w:type="dxa"/>
        <w:jc w:val="center"/>
        <w:tblInd w:w="0" w:type="dxa"/>
        <w:tblLayout w:type="fixed"/>
        <w:tblCellMar>
          <w:top w:w="28" w:type="dxa"/>
          <w:left w:w="28" w:type="dxa"/>
          <w:bottom w:w="28" w:type="dxa"/>
          <w:right w:w="28" w:type="dxa"/>
        </w:tblCellMar>
      </w:tblPr>
      <w:tblGrid>
        <w:gridCol w:w="1431"/>
        <w:gridCol w:w="1260"/>
        <w:gridCol w:w="1268"/>
        <w:gridCol w:w="344"/>
        <w:gridCol w:w="344"/>
        <w:gridCol w:w="857"/>
        <w:gridCol w:w="109"/>
        <w:gridCol w:w="109"/>
        <w:gridCol w:w="109"/>
        <w:gridCol w:w="281"/>
        <w:gridCol w:w="281"/>
        <w:gridCol w:w="818"/>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 2024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related to leases are as follows (in thousands):</w:t>
      </w:r>
    </w:p>
    <w:tbl>
      <w:tblPr>
        <w:tblW w:w="8211" w:type="dxa"/>
        <w:jc w:val="center"/>
        <w:tblInd w:w="0" w:type="dxa"/>
        <w:tblLayout w:type="fixed"/>
        <w:tblCellMar>
          <w:top w:w="28" w:type="dxa"/>
          <w:left w:w="28" w:type="dxa"/>
          <w:bottom w:w="28" w:type="dxa"/>
          <w:right w:w="28" w:type="dxa"/>
        </w:tblCellMar>
      </w:tblPr>
      <w:tblGrid>
        <w:gridCol w:w="1965"/>
        <w:gridCol w:w="1729"/>
        <w:gridCol w:w="1736"/>
        <w:gridCol w:w="109"/>
        <w:gridCol w:w="109"/>
        <w:gridCol w:w="109"/>
        <w:gridCol w:w="211"/>
        <w:gridCol w:w="721"/>
        <w:gridCol w:w="109"/>
        <w:gridCol w:w="109"/>
        <w:gridCol w:w="109"/>
        <w:gridCol w:w="109"/>
        <w:gridCol w:w="211"/>
        <w:gridCol w:w="721"/>
        <w:gridCol w:w="154"/>
      </w:tblGrid>
      <w:tr>
        <w:trPr/>
        <w:tc>
          <w:tcPr>
            <w:tcW w:w="196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13. Supplemental Disclosures to Consolidated Statements of Cash Flows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disclosures to the Consolidated Statements of Cash Flows for 2024, 2023 and 2022 (in thousands):</w:t>
      </w:r>
    </w:p>
    <w:tbl>
      <w:tblPr>
        <w:tblW w:w="9294" w:type="dxa"/>
        <w:jc w:val="left"/>
        <w:tblInd w:w="0" w:type="dxa"/>
        <w:tblLayout w:type="fixed"/>
        <w:tblCellMar>
          <w:top w:w="28" w:type="dxa"/>
          <w:left w:w="28" w:type="dxa"/>
          <w:bottom w:w="28" w:type="dxa"/>
          <w:right w:w="28" w:type="dxa"/>
        </w:tblCellMar>
      </w:tblPr>
      <w:tblGrid>
        <w:gridCol w:w="1979"/>
        <w:gridCol w:w="1737"/>
        <w:gridCol w:w="174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accrued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December 31, 2024.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15. Related Party Transactions</w:t>
      </w:r>
    </w:p>
    <w:p>
      <w:pPr>
        <w:pStyle w:val="TextBody"/>
        <w:bidi w:val="0"/>
        <w:spacing w:lineRule="auto" w:line="288" w:before="16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Securities Purchase Agreement</w:t>
      </w:r>
    </w:p>
    <w:p>
      <w:pPr>
        <w:pStyle w:val="TextBody"/>
        <w:bidi w:val="0"/>
        <w:spacing w:lineRule="auto" w:line="288" w:before="160" w:after="240"/>
        <w:jc w:val="both"/>
        <w:rPr/>
      </w:pPr>
      <w:r>
        <w:rPr>
          <w:rFonts w:ascii="Times New Roman;sans-serif" w:hAnsi="Times New Roman;sans-serif"/>
          <w:b w:val="false"/>
          <w:color w:val="000000"/>
          <w:sz w:val="20"/>
          <w:shd w:fill="FFFFFF" w:val="clear"/>
        </w:rPr>
        <w:t xml:space="preserve">Under the securities purchase agreement with </w:t>
      </w:r>
      <w:r>
        <w:rPr>
          <w:rFonts w:ascii="Times New Roman;sans-serif" w:hAnsi="Times New Roman;sans-serif"/>
          <w:b w:val="false"/>
          <w:color w:val="000000"/>
          <w:sz w:val="20"/>
        </w:rPr>
        <w:t>Mill Road Capital II, L.P. (“Mill Road”)</w:t>
      </w:r>
      <w:r>
        <w:rPr>
          <w:rFonts w:ascii="Times New Roman;sans-serif" w:hAnsi="Times New Roman;sans-serif"/>
          <w:b w:val="false"/>
          <w:color w:val="000000"/>
          <w:sz w:val="20"/>
          <w:shd w:fill="FFFFFF" w:val="clear"/>
        </w:rPr>
        <w:t xml:space="preserve">, if at any time Mill Road owns 10.0% or more of our outstanding common stock, Mill Road has the right to designate one nominee for election to our Board of Directors. If Mill Road’s ownership level falls below 10.0% of our outstanding common stock, Mill Road will no longer have a right to designate a nominee. As of December 31, 2024, Mill Road continues to have holdings above the parameters in the agreement and Thomas Lynch of Mill Road is a member of the Company’s Board of Directors. </w:t>
      </w:r>
    </w:p>
    <w:p>
      <w:pPr>
        <w:pStyle w:val="TextBody"/>
        <w:bidi w:val="0"/>
        <w:spacing w:lineRule="auto" w:line="288" w:before="16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Support Agreement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the Company entered into a Support Agreement (the “Support Agreement”) with Hoak &amp; Co, James M. Hoak, Jr., J. Hale Hoak, Hoak Public Equities, L.P., Zierk Family 2010 Irrevocable Trust and Hoak Fund Management, L.P. (collectively, “Hoak”) and Britain Peakes. Pursuant to the Support Agreement the Company agreed to appoint Britain Peakes (the “Appointee”) to the Company’s Board of Directors as a Class III director. The Support Agreement also includes, among other provisions, certain standstill and voting commitments by Hoak. The standstill period shall extend until the later of (x) 12:01 a.m. on the 30th day prior to the advance notice deadline for making director nominations at the 2026 annual meeting of shareholders and (y) thirty days after the date that the Appointee ceases to serve as a director. If the Appointee is not elected to the Board of Directors at the Company’s 2025 annual meeting of stockholders, the standstill and voting requirements will terminate. If the Company notifies Hoak in writing at least ten business days prior to the expiration of the standstill period that it intends to nominate Appointee as a director for election at the Company’s 2026 annual meeting of stockholders, the standstill restrictions will extend until prior to the 2027 annual meeting, unless the Appointee is not elected at such 2026 annual meeting. The Company has agreed that unless (x) the Board otherwise determines in good faith that it would not be in the best interests of the Company or its stockholders and/or (y) Hoak’s net long ownership position is less than 9.0% of the Company’s then outstanding shares of common stock as of any date between the date of the Support Agreement and the filing of the proxy statement for the 2025 annual meeting of stockholders, it will recommend for election, and solicit proxies for the election of the Appointee at the 2025 annual meeting of stockholders. Hoak’s ownership percentage was never less than the 9.0% threshold during the relevant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16. Revenue Recognition</w:t>
      </w:r>
    </w:p>
    <w:p>
      <w:pPr>
        <w:pStyle w:val="TextBody"/>
        <w:bidi w:val="0"/>
        <w:spacing w:lineRule="auto" w:line="288" w:before="100" w:after="160"/>
        <w:jc w:val="both"/>
        <w:rPr>
          <w:rFonts w:ascii="Times New Roman;sans-serif" w:hAnsi="Times New Roman;sans-serif"/>
          <w:b/>
          <w:i/>
          <w:color w:val="000000"/>
          <w:sz w:val="20"/>
        </w:rPr>
      </w:pPr>
      <w:r>
        <w:rPr>
          <w:rFonts w:ascii="Times New Roman;sans-serif" w:hAnsi="Times New Roman;sans-serif"/>
          <w:b/>
          <w:i/>
          <w:color w:val="000000"/>
          <w:sz w:val="20"/>
        </w:rPr>
        <w:t>Gift Cards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January 2, 2024, the current portion of the gift card liability, $2.0 million and $2.2 million, respectively, is included in accrued expenses and other current liabilities, and the long-term portion, $1.0 million, is included in other long-term liabilities in the Consolidated Balance Sheets.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in the Consolidated Statements of Operations for the redemption of gift cards was $2.6 million, $2.8 million and $3.4 million in 2024, 2023 and 2022, respectively. The Company recognized gift card breakage in restaurant revenue of approximately $0.4 million, $0.3 million and $0.5 million in 2024, 2023 and 2022, respectively. </w:t>
      </w:r>
    </w:p>
    <w:p>
      <w:pPr>
        <w:pStyle w:val="TextBody"/>
        <w:bidi w:val="0"/>
        <w:spacing w:lineRule="auto" w:line="288" w:before="180" w:after="160"/>
        <w:jc w:val="both"/>
        <w:rPr>
          <w:rFonts w:ascii="Times New Roman;sans-serif" w:hAnsi="Times New Roman;sans-serif"/>
          <w:b/>
          <w:i/>
          <w:color w:val="000000"/>
          <w:sz w:val="20"/>
        </w:rPr>
      </w:pPr>
      <w:r>
        <w:rPr>
          <w:rFonts w:ascii="Times New Roman;sans-serif" w:hAnsi="Times New Roman;sans-serif"/>
          <w:b/>
          <w:i/>
          <w:color w:val="000000"/>
          <w:sz w:val="20"/>
        </w:rPr>
        <w:t>Franchise Fees</w:t>
      </w:r>
    </w:p>
    <w:p>
      <w:pPr>
        <w:pStyle w:val="TextBody"/>
        <w:bidi w:val="0"/>
        <w:spacing w:lineRule="auto" w:line="288" w:before="18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Initial fees received from franchisees are recognized as revenue over the term of each respective franchise agreement, which is typically 20 years. The Company recognized revenue of $0.3 million, $0.2 million and $0.1 million in 2024, 2023 and 2022, respectively related to initial fees from franchisees that were included in the contract liability balance at the beginning of the year. The Company expects to recognize approximately $0.1 million each fiscal year through fiscal 2029 and approximately $0.6 million thereafter related to performance obligations that are unsatisfied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60" w:after="283"/>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NOODLES &amp;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60" w:after="60"/>
        <w:jc w:val="center"/>
        <w:rPr/>
      </w:pPr>
      <w:r>
        <w:rPr/>
      </w:r>
    </w:p>
    <w:p>
      <w:pPr>
        <w:pStyle w:val="TextBody"/>
        <w:bidi w:val="0"/>
        <w:spacing w:lineRule="auto" w:line="288" w:before="180" w:after="160"/>
        <w:jc w:val="both"/>
        <w:rPr>
          <w:rFonts w:ascii="Times New Roman;sans-serif" w:hAnsi="Times New Roman;sans-serif"/>
          <w:b/>
          <w:i/>
          <w:color w:val="000000"/>
          <w:sz w:val="20"/>
        </w:rPr>
      </w:pPr>
      <w:r>
        <w:rPr>
          <w:rFonts w:ascii="Times New Roman;sans-serif" w:hAnsi="Times New Roman;sans-serif"/>
          <w:b/>
          <w:i/>
          <w:color w:val="000000"/>
          <w:sz w:val="20"/>
        </w:rPr>
        <w:t>Loyalty Program</w:t>
      </w:r>
    </w:p>
    <w:p>
      <w:pPr>
        <w:pStyle w:val="TextBody"/>
        <w:bidi w:val="0"/>
        <w:spacing w:lineRule="auto" w:line="288" w:before="180" w:after="160"/>
        <w:jc w:val="both"/>
        <w:rPr/>
      </w:pPr>
      <w:r>
        <w:rPr>
          <w:rFonts w:ascii="Times New Roman;sans-serif" w:hAnsi="Times New Roman;sans-serif"/>
          <w:b w:val="false"/>
          <w:color w:val="000000"/>
          <w:sz w:val="20"/>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Points generally expire after six months. Revenue is recognized in a future period when the reward points are redeemed. Deferred revenue related to the rewards</w:t>
      </w:r>
      <w:r>
        <w:rPr>
          <w:color w:val="000000"/>
          <w:shd w:fill="FFFFFF" w:val="clear"/>
        </w:rPr>
        <w:t xml:space="preserve"> </w:t>
      </w:r>
      <w:r>
        <w:rPr>
          <w:rFonts w:ascii="Times New Roman;sans-serif" w:hAnsi="Times New Roman;sans-serif"/>
          <w:b w:val="false"/>
          <w:color w:val="000000"/>
          <w:sz w:val="20"/>
          <w:shd w:fill="FFFFFF" w:val="clear"/>
        </w:rPr>
        <w:t xml:space="preserve">was $1.0 million and $0.9 million as of </w:t>
      </w:r>
      <w:r>
        <w:rPr>
          <w:rFonts w:ascii="Times New Roman;sans-serif" w:hAnsi="Times New Roman;sans-serif"/>
          <w:b w:val="false"/>
          <w:color w:val="000000"/>
          <w:sz w:val="20"/>
        </w:rPr>
        <w:t>December 31, 2024 and January 2, 2024, respectively, and was included in accrued expenses and other 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17. Segment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(“CODM”) is the senior executive team that includes the Chief Executive Officer, the Chief Financial Officer and the Chief Operating Officer. The Company has one reportable operating segment. The reportable operating segment is comprised of one operating segment, which has been aggregated to a single operating segment in consideration of the aggregation criteria set forth in ASC 280. The one reportable segment derives its revenue from company-owned restaurants and franchise owned restaurants. No guest accounts for 10% or more of the Company’s revenues. The Company’s CODM uses income (loss) from operations to evaluate performance and make key operating decisions, such as deciding the rate at which we invest resources into the segment.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with respect to our single reportable segment regularly reviewed by our CODM for 2024, 2023 and 2022 (in thousands):</w:t>
      </w:r>
    </w:p>
    <w:p>
      <w:pPr>
        <w:pStyle w:val="TextBody"/>
        <w:bidi w:val="0"/>
        <w:spacing w:before="0" w:after="0"/>
        <w:jc w:val="left"/>
        <w:rPr/>
      </w:pPr>
      <w:r>
        <w:rPr/>
      </w:r>
    </w:p>
    <w:tbl>
      <w:tblPr>
        <w:tblW w:w="9204" w:type="dxa"/>
        <w:jc w:val="left"/>
        <w:tblInd w:w="0" w:type="dxa"/>
        <w:tblLayout w:type="fixed"/>
        <w:tblCellMar>
          <w:top w:w="28" w:type="dxa"/>
          <w:left w:w="28" w:type="dxa"/>
          <w:bottom w:w="28" w:type="dxa"/>
          <w:right w:w="28" w:type="dxa"/>
        </w:tblCellMar>
      </w:tblPr>
      <w:tblGrid>
        <w:gridCol w:w="1716"/>
        <w:gridCol w:w="1508"/>
        <w:gridCol w:w="151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8" w:type="dxa"/>
        <w:jc w:val="left"/>
        <w:tblInd w:w="0" w:type="dxa"/>
        <w:tblLayout w:type="fixed"/>
        <w:tblCellMar>
          <w:top w:w="28" w:type="dxa"/>
          <w:left w:w="28" w:type="dxa"/>
          <w:bottom w:w="28" w:type="dxa"/>
          <w:right w:w="28" w:type="dxa"/>
        </w:tblCellMar>
      </w:tblPr>
      <w:tblGrid>
        <w:gridCol w:w="1266"/>
        <w:gridCol w:w="1112"/>
        <w:gridCol w:w="1116"/>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disclosures (in thousands):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long-lived assets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60" w:after="24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(1)Long-lived assets include the Company’s property and equipment and operating lease assets presented in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Noodles &amp; Company</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Noodles &amp; Company (the Company) as of December 31, 2024 and January 2, 2024, the related consolidated statements of operations,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January 2, 2024, and the results of its operations and its cash flows for each of the three years in the period ended December 31, 2024, in conformity with U.S. generally accepted accounting principles.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8"/>
        <w:gridCol w:w="438"/>
        <w:gridCol w:w="440"/>
        <w:gridCol w:w="109"/>
        <w:gridCol w:w="109"/>
        <w:gridCol w:w="109"/>
        <w:gridCol w:w="2562"/>
        <w:gridCol w:w="2451"/>
        <w:gridCol w:w="3489"/>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2"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lineRule="auto" w:line="249" w:before="0" w:after="0"/>
              <w:ind w:left="0" w:right="0" w:firstLine="1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tc>
      </w:tr>
      <w:tr>
        <w:trPr/>
        <w:tc>
          <w:tcPr>
            <w:tcW w:w="1376" w:type="dxa"/>
            <w:gridSpan w:val="3"/>
            <w:tcBorders/>
            <w:tcMar>
              <w:top w:w="0" w:type="dxa"/>
              <w:left w:w="0" w:type="dxa"/>
              <w:bottom w:w="0" w:type="dxa"/>
              <w:right w:w="0" w:type="dxa"/>
            </w:tcMar>
            <w:vAlign w:val="center"/>
          </w:tcPr>
          <w:p>
            <w:pPr>
              <w:pStyle w:val="TableContents"/>
              <w:bidi w:val="0"/>
              <w:spacing w:lineRule="auto" w:line="249" w:before="0" w:after="0"/>
              <w:ind w:left="0" w:right="0" w:firstLine="1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more fully described in Note 1 and Note 6 to the consolidated financial statements, during the year ended December 31, 2024, the Company recorded impairment charges of $13.4 million related to its restaurants. The Company evaluates its long-lived assets for impairment whenever events or changes indicate that the carrying amount of an asset may not be recoverable. Management groups and evaluates long-lived assets for impairment at the individual restaurant level, which is the lowest level at which independent identifiable cash flows are available. The Company estimates the future undiscounted cash flows expected to be generated by the assets and compares those estimates to the carrying value of the related assets. If the assets are determined to be impaired, they are written down to their fair values. </w:t>
            </w:r>
          </w:p>
          <w:p>
            <w:pPr>
              <w:pStyle w:val="TableContents"/>
              <w:bidi w:val="0"/>
              <w:spacing w:before="0" w:after="0"/>
              <w:jc w:val="both"/>
              <w:rPr/>
            </w:pPr>
            <w:r>
              <w:rPr/>
            </w:r>
          </w:p>
          <w:p>
            <w:pPr>
              <w:pStyle w:val="TableContents"/>
              <w:bidi w:val="0"/>
              <w:spacing w:lineRule="auto" w:line="24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indicators of impairment were identified, auditing the Company’s long-lived asset impairment analyses involved subjective auditor judgment in evaluating the expected restaurant revenues included in the future undiscounted cash flows. This assumption is subjective in nature and is affected by expectations about future market conditions for a given store.</w:t>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9" w:before="0" w:after="0"/>
              <w:ind w:left="0" w:right="0" w:firstLine="1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significant assumption described above, our audit procedures included, among others, comparing estimated revenue trends to historical results for similar restaurants and evaluating current trends by restaurant and testing the data used in the calculations for completeness and accuracy. We inquired of the Company’s management to understand the business initiatives supporting the revenue assumption in the future cash flows. We performed a sensitivity analysis of the forecasted restaurant revenues to evaluate the change in future undiscounted cash flow estimates that would result from changes in the assumption.</w:t>
            </w:r>
          </w:p>
        </w:tc>
      </w:tr>
    </w:tbl>
    <w:p>
      <w:pPr>
        <w:pStyle w:val="TextBody"/>
        <w:bidi w:val="0"/>
        <w:spacing w:before="0" w:after="0"/>
        <w:jc w:val="left"/>
        <w:rPr/>
      </w:pPr>
      <w:r>
        <w:rPr/>
      </w:r>
    </w:p>
    <w:tbl>
      <w:tblPr>
        <w:tblW w:w="2709"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March 7,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in Rule 13a-15(e) of the Exchange Act) as of the end of the period covered by this report. Based on this evaluation, our Chief Executive Officer and Chief Financial Officer concluded that our disclosure controls and procedures were effective as of the end of the period covered by this annual report.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Noodles &amp; Company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 of America, and that our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we carried out an evaluation of the effectiveness of our internal control over financial reporting as of December 31, 2024 based on the criteria in “Internal Control - Integrated Framework (the 2013 framework)” issued by the Committee of Sponsoring Organizations of the Treadway Commission (“COSO”). Based on this evaluation, our management concluded that our internal control over financial reporting was effective as of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Attestation Report of the Independent Registered Public Accounting Firm</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registered public accounting firm, Ernst &amp; Young LLP, is not required to issue an attestation report on the effectiveness of our internal control over financial reporting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 and Executive Officer Trading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During the quarter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no director or officer adopted or terminated any Rule 10b5-1 or non-Rule 10b5-1 trading arrangements (as defined in Item 408 of Regulation S-K).</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adopted a Code of Business Conduct and Ethics that applies to our directors and a Code of Business Conduct and Ethics that applies to our officers and employees (collectively, the “Codes”), including our principal executive, financial and accounting officers, and persons performing similar functions. These Codes are published on our corporate governance website located at </w:t>
      </w:r>
      <w:r>
        <w:rPr>
          <w:rFonts w:ascii="Times New Roman;sans-serif" w:hAnsi="Times New Roman;sans-serif"/>
          <w:b w:val="false"/>
          <w:i/>
          <w:color w:val="000000"/>
          <w:sz w:val="20"/>
        </w:rPr>
        <w:t>investor.noodles.com/corporate-governance.cfm</w:t>
      </w:r>
      <w:r>
        <w:rPr>
          <w:rFonts w:ascii="Times New Roman;sans-serif" w:hAnsi="Times New Roman;sans-serif"/>
          <w:b w:val="false"/>
          <w:color w:val="000000"/>
          <w:sz w:val="20"/>
        </w:rPr>
        <w:t xml:space="preserve">. We intend to disclose certain future amendments to provisions of our Codes, or waivers of provisions of the Codes granted to executive officers and directors, on the website within four business days following the date of such amendment or waiver.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information required by this item is incorporated herein by reference to the sections entitled “Proposal No. 1 - Election of Directors,” “Delinquent Section 16(a) Report,” “Executive Officers,” “Board Committees—Policy Regarding Stockholder Recommendations,” “Insider Trading Policy,” and “Board Committees—Audit Committee” in our definitive Proxy Statement for the Annual Meeting of Stockholders to be held on May 14, 2025 (the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information required by this item is incorporated by reference to t</w:t>
      </w:r>
      <w:r>
        <w:rPr>
          <w:rFonts w:ascii="Times New Roman;sans-serif" w:hAnsi="Times New Roman;sans-serif"/>
          <w:b w:val="false"/>
          <w:color w:val="000000"/>
          <w:sz w:val="20"/>
          <w:shd w:fill="FFFFFF" w:val="clear"/>
        </w:rPr>
        <w:t xml:space="preserve">he sections entitled “Executive Compensation,” “Director Compensation” and “Board Committees—Compensation Committee Interlocks and Insider Participation” in the Proxy Statement.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ind w:left="0" w:right="0" w:hanging="144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entitled “Equity Compensation Plan Information” and “Security Ownership of Certain Beneficial Owners and Management” in the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sections entitled “Transactions with Related Persons” and “Directors and Corporate Governance—Board Independence” in the Proxy Statement.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ind w:left="0" w:right="0" w:hanging="144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is incorporated by reference to the section entitled “Proposal No. 3 - Ratification of Appointment of Independent Registered Public Accounting Firm for 2025” in the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ind w:left="0" w:right="0" w:hanging="144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1.Our Consolidated Financial Statements and Notes thereto are included in Item 8, “Financial Statements and Supplementary Data,” of this Annual Report on Form 10-K.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2.All financial schedules have been omitted either because they are not applicable or because the required information is provided in our Consolidated Financial Statements and Notes thereto, included in Item 8 of this Annual Report on Form 10-K.</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3.The Index to Exhibits is incorporated herein by reference and is filed as part of this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left"/>
        <w:rPr/>
      </w:pPr>
      <w:r>
        <w:rPr>
          <w:rFonts w:ascii="Times New Roman;sans-serif" w:hAnsi="Times New Roman;sans-serif"/>
          <w:b/>
          <w:color w:val="000000"/>
          <w:sz w:val="20"/>
        </w:rPr>
        <w:t>EXHIBITS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18"/>
        <w:gridCol w:w="279"/>
        <w:gridCol w:w="280"/>
        <w:gridCol w:w="109"/>
        <w:gridCol w:w="109"/>
        <w:gridCol w:w="109"/>
        <w:gridCol w:w="1152"/>
        <w:gridCol w:w="1030"/>
        <w:gridCol w:w="1033"/>
        <w:gridCol w:w="109"/>
        <w:gridCol w:w="109"/>
        <w:gridCol w:w="109"/>
        <w:gridCol w:w="233"/>
        <w:gridCol w:w="233"/>
        <w:gridCol w:w="131"/>
        <w:gridCol w:w="121"/>
        <w:gridCol w:w="121"/>
        <w:gridCol w:w="121"/>
        <w:gridCol w:w="261"/>
        <w:gridCol w:w="261"/>
        <w:gridCol w:w="154"/>
        <w:gridCol w:w="121"/>
        <w:gridCol w:w="121"/>
        <w:gridCol w:w="121"/>
        <w:gridCol w:w="365"/>
        <w:gridCol w:w="365"/>
        <w:gridCol w:w="190"/>
        <w:gridCol w:w="121"/>
        <w:gridCol w:w="121"/>
        <w:gridCol w:w="121"/>
        <w:gridCol w:w="287"/>
        <w:gridCol w:w="287"/>
        <w:gridCol w:w="288"/>
        <w:gridCol w:w="109"/>
        <w:gridCol w:w="109"/>
        <w:gridCol w:w="109"/>
        <w:gridCol w:w="285"/>
        <w:gridCol w:w="285"/>
        <w:gridCol w:w="418"/>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Description of Exhibit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Form</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File No.</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Filing Date</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Filed Herewith</w:t>
            </w:r>
          </w:p>
        </w:tc>
      </w:tr>
      <w:tr>
        <w:trPr/>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333-192402</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19, 2013</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Second 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24, 2015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Specimen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333-188783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2013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for Series A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9, 2017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Warrant to Purchase Class A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9, 2017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Description of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Noodles &amp; Company Amended and Restated 2010 Stock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333-188783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2013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Noodles &amp; Company 2013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333-188783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2013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Amended and Restated Credit Agreement dated July 27, 2022, by and among Noodles &amp; Company, each of the Guarantors signatory thereto, U.S. Bank National Association, as Administrative Agent, L/C Issuer and Swing Line Issuer and the lenders signatory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27, 2022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First Amendment to Amended and Restated Credit Agreement, dated as of December 21, 2023, by and among Noodles &amp; Company, each of the Guarantors signatory thereto, U.S. Bank National Association, as Administrative Agent, L/C Issuer and Swing Line Issuer and the lenders signatory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26, 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80"/>
                  <w:sz w:val="18"/>
                  <w:u w:val="single"/>
                </w:rPr>
                <w:t>Second Amendment to Amended and Restated Credit Agreement, dated as of October 29, 2024, by and among Noodles &amp; Company, each of the Guarantors signatory thereto, U.S. Bank National Association, as Administrative Agent, L/C Issuer and Swing Line</w:t>
              </w:r>
            </w:hyperlink>
            <w:hyperlink r:id="rId13">
              <w:r>
                <w:rPr>
                  <w:rStyle w:val="InternetLink"/>
                  <w:rFonts w:ascii="Times New Roman;sans-serif" w:hAnsi="Times New Roman;sans-serif"/>
                  <w:b w:val="false"/>
                  <w:color w:val="000080"/>
                  <w:sz w:val="18"/>
                  <w:u w:val="single"/>
                </w:rPr>
                <w:t xml:space="preserve"> Issuer and the lenders signatory ther</w:t>
              </w:r>
            </w:hyperlink>
            <w:hyperlink r:id="rId14">
              <w:r>
                <w:rPr>
                  <w:rStyle w:val="InternetLink"/>
                  <w:rFonts w:ascii="Times New Roman;sans-serif" w:hAnsi="Times New Roman;sans-serif"/>
                  <w:b w:val="false"/>
                  <w:color w:val="000080"/>
                  <w:sz w:val="18"/>
                  <w:u w:val="single"/>
                </w:rPr>
                <w:t>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30, 2024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Security Agreement, dated May 9, 2018, by and between Noodles &amp; Company and U.S. Bank National Association,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2018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Pledge Agreement, dated May 9, 2018, by and between Noodles &amp; Company and U.S. Bank National Association,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2018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Form of Indemnification Agreement by and between Noodles &amp; Company and each of its directors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333-188783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2013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Form of Area Development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24, 2015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center"/>
        <w:tblInd w:w="0" w:type="dxa"/>
        <w:tblLayout w:type="fixed"/>
        <w:tblCellMar>
          <w:top w:w="28" w:type="dxa"/>
          <w:left w:w="28" w:type="dxa"/>
          <w:bottom w:w="28" w:type="dxa"/>
          <w:right w:w="28" w:type="dxa"/>
        </w:tblCellMar>
      </w:tblPr>
      <w:tblGrid>
        <w:gridCol w:w="203"/>
        <w:gridCol w:w="178"/>
        <w:gridCol w:w="180"/>
        <w:gridCol w:w="109"/>
        <w:gridCol w:w="109"/>
        <w:gridCol w:w="109"/>
        <w:gridCol w:w="1612"/>
        <w:gridCol w:w="1436"/>
        <w:gridCol w:w="1441"/>
        <w:gridCol w:w="109"/>
        <w:gridCol w:w="109"/>
        <w:gridCol w:w="109"/>
        <w:gridCol w:w="141"/>
        <w:gridCol w:w="141"/>
        <w:gridCol w:w="143"/>
        <w:gridCol w:w="109"/>
        <w:gridCol w:w="109"/>
        <w:gridCol w:w="109"/>
        <w:gridCol w:w="295"/>
        <w:gridCol w:w="242"/>
        <w:gridCol w:w="244"/>
        <w:gridCol w:w="109"/>
        <w:gridCol w:w="109"/>
        <w:gridCol w:w="109"/>
        <w:gridCol w:w="406"/>
        <w:gridCol w:w="345"/>
        <w:gridCol w:w="346"/>
        <w:gridCol w:w="109"/>
        <w:gridCol w:w="109"/>
        <w:gridCol w:w="109"/>
        <w:gridCol w:w="170"/>
        <w:gridCol w:w="170"/>
        <w:gridCol w:w="171"/>
        <w:gridCol w:w="109"/>
        <w:gridCol w:w="109"/>
        <w:gridCol w:w="109"/>
        <w:gridCol w:w="109"/>
        <w:gridCol w:w="109"/>
        <w:gridCol w:w="161"/>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Form of Franchise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24,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Form of Stock Option Agreement (Nonqualified Stock Options)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Form of Restricted Stock Unit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9,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Form of Restricted Stock Unit Agreement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The Executive Nonqualified “Excess” Plan Adoption Agreement, adopted by Noodles &amp; Company on May 16, 2013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333-188783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Letter Agreement, dated February 15, 2017, between Noodles &amp; Company and Mill Road Capital Management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14,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Securities Purchase Agreement, dated March 13, 2017, between Noodles &amp; Company and Mill Road Capital Management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14,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Amended and Restated Noodles &amp; Company Compensation Plan for Non-Employee Directors, dated December 12, 2018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15,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Compensation Plan for Non-Employee Directors Amended and Restated September 19, 2019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17,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Form of 2020 Performance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Employment Agreement, dated October 27, 2020, between Noodles &amp; Company and Brad West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29,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Form of 2021 Performance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30,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Employment Agreement, dated August 2, 2021, between Noodles &amp; Company and Kathy Lockhart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Employment Agreement, dated July 30, 2021, between Noodles &amp; Company and Corey Kline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Form of 2019 Performance Restricted Stock Unit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Form of 2022 Performance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u w:val="single"/>
                </w:rPr>
                <w:t>Form of Restricted Stock Unit Agreement for General Manager Equity Partner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Form of 2023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Form of 2023 Performance Restricted Stock Unit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Form of 2023 Restricted Stock Unit Agreement For General Manager Equity Partner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u w:val="single"/>
                </w:rPr>
                <w:t>Compensation Plan for Non-employee Directors, Amended and Restated May 15,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Noodles &amp; Company 2023 Stock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333-272120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Mike Hynes Employment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center"/>
        <w:tblInd w:w="0" w:type="dxa"/>
        <w:tblLayout w:type="fixed"/>
        <w:tblCellMar>
          <w:top w:w="28" w:type="dxa"/>
          <w:left w:w="28" w:type="dxa"/>
          <w:bottom w:w="28" w:type="dxa"/>
          <w:right w:w="28" w:type="dxa"/>
        </w:tblCellMar>
      </w:tblPr>
      <w:tblGrid>
        <w:gridCol w:w="197"/>
        <w:gridCol w:w="173"/>
        <w:gridCol w:w="175"/>
        <w:gridCol w:w="109"/>
        <w:gridCol w:w="109"/>
        <w:gridCol w:w="109"/>
        <w:gridCol w:w="1975"/>
        <w:gridCol w:w="1453"/>
        <w:gridCol w:w="1460"/>
        <w:gridCol w:w="109"/>
        <w:gridCol w:w="109"/>
        <w:gridCol w:w="109"/>
        <w:gridCol w:w="135"/>
        <w:gridCol w:w="120"/>
        <w:gridCol w:w="120"/>
        <w:gridCol w:w="109"/>
        <w:gridCol w:w="109"/>
        <w:gridCol w:w="109"/>
        <w:gridCol w:w="209"/>
        <w:gridCol w:w="209"/>
        <w:gridCol w:w="210"/>
        <w:gridCol w:w="109"/>
        <w:gridCol w:w="109"/>
        <w:gridCol w:w="109"/>
        <w:gridCol w:w="400"/>
        <w:gridCol w:w="378"/>
        <w:gridCol w:w="229"/>
        <w:gridCol w:w="109"/>
        <w:gridCol w:w="109"/>
        <w:gridCol w:w="109"/>
        <w:gridCol w:w="140"/>
        <w:gridCol w:w="140"/>
        <w:gridCol w:w="141"/>
        <w:gridCol w:w="109"/>
        <w:gridCol w:w="109"/>
        <w:gridCol w:w="109"/>
        <w:gridCol w:w="109"/>
        <w:gridCol w:w="109"/>
        <w:gridCol w:w="161"/>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Mike Hynes Offer Letter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Drew Madsen Offer Letter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Restricted Stock Unit Agreement, dated November 9, 2023, between Noodles &amp; Company and Drew Madsen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Form of 2024 Restricted Stock Unit Agreement For General Manager Equity Partner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09,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Madsen Employment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07,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18"/>
                  <w:u w:val="single"/>
                </w:rPr>
                <w:t>Stock Option Agreement (Nonqualified Stock Options), dated March 6, 2024, between Noodles &amp; Company and Drew Madsen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07,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Restricted Stock Unit Agreement, dated March 6, 2024, between Noodles &amp; Company and Drew Madsen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07,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Performance Stock Unit Agreement, dated March 6, 2024, between Noodles &amp; Company and Drew Madsen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07,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18"/>
                  <w:u w:val="single"/>
                </w:rPr>
                <w:t>Form of 2024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08,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18"/>
                  <w:u w:val="single"/>
                </w:rPr>
                <w:t>Form of 2024 Performance Restricted Stock Unit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08,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18"/>
                  <w:u w:val="single"/>
                </w:rPr>
                <w:t>Form of 2024 Restricted Stock Unit Agreement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08,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18"/>
                  <w:u w:val="single"/>
                </w:rPr>
                <w:t>Employment Agreement, dated June 10, 2024, between Noodles &amp; Company and Scott Davis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08,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18"/>
                  <w:u w:val="single"/>
                </w:rPr>
                <w:t>Support Agreement dated June 6, 2024, between Noodles &amp; Company and Hoak &amp; Co, James M. Hoak, Jr., J. Hale Hoak, Hoak Public Equities, L.P., Zierk Family 2010 Irrevocable Trust and Hoak Fund Management, L.P. and Britain Peakes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18"/>
                  <w:u w:val="single"/>
                </w:rPr>
                <w:t>Transition Services and Separation Agreement between Noodles &amp; Company and Brad West dated September 10,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18"/>
                  <w:u w:val="single"/>
                </w:rPr>
                <w:t>Separation Agreement between Noodles &amp; Company and Melissa Heidman dated June 18,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80"/>
                  <w:sz w:val="18"/>
                  <w:u w:val="single"/>
                </w:rPr>
                <w:t>E</w:t>
              </w:r>
            </w:hyperlink>
            <w:hyperlink r:id="rId58">
              <w:r>
                <w:rPr>
                  <w:rStyle w:val="InternetLink"/>
                  <w:rFonts w:ascii="Times New Roman;sans-serif" w:hAnsi="Times New Roman;sans-serif"/>
                  <w:b w:val="false"/>
                  <w:color w:val="000080"/>
                  <w:sz w:val="18"/>
                  <w:u w:val="single"/>
                </w:rPr>
                <w:t>mploym</w:t>
              </w:r>
            </w:hyperlink>
            <w:hyperlink r:id="rId59">
              <w:r>
                <w:rPr>
                  <w:rStyle w:val="InternetLink"/>
                  <w:rFonts w:ascii="Times New Roman;sans-serif" w:hAnsi="Times New Roman;sans-serif"/>
                  <w:b w:val="false"/>
                  <w:color w:val="000080"/>
                  <w:sz w:val="18"/>
                  <w:u w:val="single"/>
                </w:rPr>
                <w:t>ent agreement dated February 12, 2025, between Noodles &amp; Company and Jo</w:t>
              </w:r>
            </w:hyperlink>
            <w:hyperlink r:id="rId60">
              <w:r>
                <w:rPr>
                  <w:rStyle w:val="InternetLink"/>
                  <w:rFonts w:ascii="Times New Roman;sans-serif" w:hAnsi="Times New Roman;sans-serif"/>
                  <w:b w:val="false"/>
                  <w:color w:val="000080"/>
                  <w:sz w:val="18"/>
                  <w:u w:val="single"/>
                </w:rPr>
                <w:t>s</w:t>
              </w:r>
            </w:hyperlink>
            <w:hyperlink r:id="rId61">
              <w:r>
                <w:rPr>
                  <w:rStyle w:val="InternetLink"/>
                  <w:rFonts w:ascii="Times New Roman;sans-serif" w:hAnsi="Times New Roman;sans-serif"/>
                  <w:b w:val="false"/>
                  <w:color w:val="000080"/>
                  <w:sz w:val="18"/>
                  <w:u w:val="single"/>
                </w:rPr>
                <w:t>e</w:t>
              </w:r>
            </w:hyperlink>
            <w:hyperlink r:id="rId62">
              <w:r>
                <w:rPr>
                  <w:rStyle w:val="InternetLink"/>
                  <w:rFonts w:ascii="Times New Roman;sans-serif" w:hAnsi="Times New Roman;sans-serif"/>
                  <w:b w:val="false"/>
                  <w:color w:val="000080"/>
                  <w:sz w:val="18"/>
                  <w:u w:val="single"/>
                </w:rPr>
                <w:t>ph</w:t>
              </w:r>
            </w:hyperlink>
            <w:hyperlink r:id="rId63">
              <w:r>
                <w:rPr>
                  <w:rStyle w:val="InternetLink"/>
                  <w:rFonts w:ascii="Times New Roman;sans-serif" w:hAnsi="Times New Roman;sans-serif"/>
                  <w:b w:val="false"/>
                  <w:color w:val="000080"/>
                  <w:sz w:val="18"/>
                  <w:u w:val="single"/>
                </w:rPr>
                <w:t xml:space="preserve"> Christina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49josephchristinaoffer.htm">
              <w:r>
                <w:rPr>
                  <w:rStyle w:val="InternetLink"/>
                  <w:rFonts w:ascii="Times New Roman;sans-serif" w:hAnsi="Times New Roman;sans-serif"/>
                  <w:b w:val="false"/>
                  <w:color w:val="000080"/>
                  <w:sz w:val="18"/>
                  <w:u w:val="single"/>
                </w:rPr>
                <w:t>J</w:t>
              </w:r>
            </w:hyperlink>
            <w:hyperlink w:anchor="ex1049josephchristinaoffer.htm">
              <w:r>
                <w:rPr>
                  <w:rStyle w:val="InternetLink"/>
                  <w:rFonts w:ascii="Times New Roman;sans-serif" w:hAnsi="Times New Roman;sans-serif"/>
                  <w:b w:val="false"/>
                  <w:color w:val="000080"/>
                  <w:sz w:val="18"/>
                  <w:u w:val="single"/>
                </w:rPr>
                <w:t>oseph Christina Offer Letter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ans-serif" w:hAnsi="Times New Roman;sans-serif"/>
                  <w:b w:val="false"/>
                  <w:color w:val="000080"/>
                  <w:sz w:val="18"/>
                  <w:u w:val="single"/>
                </w:rPr>
                <w:t>I</w:t>
              </w:r>
            </w:hyperlink>
            <w:hyperlink w:anchor="ex191insidertradingpolicy.htm">
              <w:r>
                <w:rPr>
                  <w:rStyle w:val="InternetLink"/>
                  <w:rFonts w:ascii="Times New Roman;sans-serif" w:hAnsi="Times New Roman;sans-serif"/>
                  <w:b w:val="false"/>
                  <w:color w:val="000080"/>
                  <w:sz w:val="18"/>
                  <w:u w:val="single"/>
                </w:rPr>
                <w:t>nsider</w:t>
              </w:r>
            </w:hyperlink>
            <w:hyperlink w:anchor="ex191insidertradingpolicy.htm">
              <w:r>
                <w:rPr>
                  <w:rStyle w:val="InternetLink"/>
                  <w:rFonts w:ascii="Times New Roman;sans-serif" w:hAnsi="Times New Roman;sans-serif"/>
                  <w:b w:val="false"/>
                  <w:color w:val="000080"/>
                  <w:sz w:val="18"/>
                  <w:u w:val="single"/>
                </w:rPr>
                <w:t xml:space="preserve"> </w:t>
              </w:r>
            </w:hyperlink>
            <w:hyperlink w:anchor="ex191insidertradingpolicy.htm">
              <w:r>
                <w:rPr>
                  <w:rStyle w:val="InternetLink"/>
                  <w:rFonts w:ascii="Times New Roman;sans-serif" w:hAnsi="Times New Roman;sans-serif"/>
                  <w:b w:val="false"/>
                  <w:color w:val="000080"/>
                  <w:sz w:val="18"/>
                  <w:u w:val="single"/>
                </w:rPr>
                <w:t>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4ex211_listingofsubs.htm">
              <w:r>
                <w:rPr>
                  <w:rStyle w:val="InternetLink"/>
                  <w:rFonts w:ascii="Times New Roman;sans-serif" w:hAnsi="Times New Roman;sans-serif"/>
                  <w:b w:val="false"/>
                  <w:color w:val="0000FF"/>
                  <w:sz w:val="18"/>
                  <w:u w:val="single"/>
                </w:rPr>
                <w:t>List of Subsidiaries of Noodles &amp;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4ex231_eyconsent.htm">
              <w:r>
                <w:rPr>
                  <w:rStyle w:val="InternetLink"/>
                  <w:rFonts w:ascii="Times New Roman;sans-serif" w:hAnsi="Times New Roman;sans-serif"/>
                  <w:b w:val="false"/>
                  <w:color w:val="0000FF"/>
                  <w:sz w:val="18"/>
                  <w:u w:val="single"/>
                </w:rPr>
                <w:t>Consent of Ernst &amp; Young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3d4297645240379cadfae4c30a127c_196">
              <w:r>
                <w:rPr>
                  <w:rStyle w:val="InternetLink"/>
                  <w:rFonts w:ascii="Times New Roman;sans-serif" w:hAnsi="Times New Roman;sans-serif"/>
                  <w:b w:val="false"/>
                  <w:color w:val="0000FF"/>
                  <w:sz w:val="18"/>
                  <w:u w:val="single"/>
                </w:rPr>
                <w:t>Power of Attorney (included on signature page of this report)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4exhibit311.htm">
              <w:r>
                <w:rPr>
                  <w:rStyle w:val="InternetLink"/>
                  <w:rFonts w:ascii="Times New Roman;sans-serif" w:hAnsi="Times New Roman;sans-serif"/>
                  <w:b w:val="false"/>
                  <w:color w:val="0000FF"/>
                  <w:sz w:val="18"/>
                  <w:u w:val="single"/>
                </w:rPr>
                <w:t>Certification of Principal Executive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center"/>
        <w:tblInd w:w="0" w:type="dxa"/>
        <w:tblLayout w:type="fixed"/>
        <w:tblCellMar>
          <w:top w:w="28" w:type="dxa"/>
          <w:left w:w="28" w:type="dxa"/>
          <w:bottom w:w="28" w:type="dxa"/>
          <w:right w:w="28" w:type="dxa"/>
        </w:tblCellMar>
      </w:tblPr>
      <w:tblGrid>
        <w:gridCol w:w="231"/>
        <w:gridCol w:w="176"/>
        <w:gridCol w:w="178"/>
        <w:gridCol w:w="109"/>
        <w:gridCol w:w="109"/>
        <w:gridCol w:w="109"/>
        <w:gridCol w:w="1667"/>
        <w:gridCol w:w="1667"/>
        <w:gridCol w:w="1671"/>
        <w:gridCol w:w="109"/>
        <w:gridCol w:w="109"/>
        <w:gridCol w:w="109"/>
        <w:gridCol w:w="129"/>
        <w:gridCol w:w="129"/>
        <w:gridCol w:w="131"/>
        <w:gridCol w:w="109"/>
        <w:gridCol w:w="109"/>
        <w:gridCol w:w="109"/>
        <w:gridCol w:w="221"/>
        <w:gridCol w:w="221"/>
        <w:gridCol w:w="223"/>
        <w:gridCol w:w="109"/>
        <w:gridCol w:w="109"/>
        <w:gridCol w:w="109"/>
        <w:gridCol w:w="265"/>
        <w:gridCol w:w="265"/>
        <w:gridCol w:w="267"/>
        <w:gridCol w:w="109"/>
        <w:gridCol w:w="109"/>
        <w:gridCol w:w="109"/>
        <w:gridCol w:w="140"/>
        <w:gridCol w:w="140"/>
        <w:gridCol w:w="141"/>
        <w:gridCol w:w="109"/>
        <w:gridCol w:w="109"/>
        <w:gridCol w:w="109"/>
        <w:gridCol w:w="109"/>
        <w:gridCol w:w="109"/>
        <w:gridCol w:w="163"/>
      </w:tblGrid>
      <w:tr>
        <w:trPr/>
        <w:tc>
          <w:tcPr>
            <w:tcW w:w="2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4exhibit312.htm">
              <w:r>
                <w:rPr>
                  <w:rStyle w:val="InternetLink"/>
                  <w:rFonts w:ascii="Times New Roman;sans-serif" w:hAnsi="Times New Roman;sans-serif"/>
                  <w:b w:val="false"/>
                  <w:color w:val="0000FF"/>
                  <w:sz w:val="18"/>
                  <w:u w:val="single"/>
                </w:rPr>
                <w:t>Certification of Principal Financial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4exhibit321.htm">
              <w:r>
                <w:rPr>
                  <w:rStyle w:val="InternetLink"/>
                  <w:rFonts w:ascii="Times New Roman;sans-serif" w:hAnsi="Times New Roman;sans-serif"/>
                  <w:b w:val="false"/>
                  <w:color w:val="0000FF"/>
                  <w:sz w:val="18"/>
                  <w:u w:val="single"/>
                </w:rPr>
                <w:t>Certification of Chief Executive Officer and Chief Financial Officer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18"/>
                  <w:u w:val="single"/>
                </w:rPr>
                <w:t>Noodles &amp; Company Dodd-Frank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08,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160" w:after="16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March 7, 2025.</w:t>
      </w:r>
    </w:p>
    <w:tbl>
      <w:tblPr>
        <w:tblW w:w="2682" w:type="dxa"/>
        <w:jc w:val="center"/>
        <w:tblInd w:w="0" w:type="dxa"/>
        <w:tblLayout w:type="fixed"/>
        <w:tblCellMar>
          <w:top w:w="28" w:type="dxa"/>
          <w:left w:w="28" w:type="dxa"/>
          <w:bottom w:w="28" w:type="dxa"/>
          <w:right w:w="28" w:type="dxa"/>
        </w:tblCellMar>
      </w:tblPr>
      <w:tblGrid>
        <w:gridCol w:w="124"/>
        <w:gridCol w:w="109"/>
        <w:gridCol w:w="109"/>
        <w:gridCol w:w="684"/>
        <w:gridCol w:w="684"/>
        <w:gridCol w:w="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NOODLES &amp;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DREW MADSEN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Kathy Lockhart as such person’s true and lawful attorney-in-fact and agent, with full power of substitution and re-substitution, for such person and in such person’s name, place and stead, in any and all capacities, to sign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or their or such person’s substitute or substitutes, may lawfully do or cause to be done by virtue thereof.</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60" w:after="160"/>
        <w:jc w:val="left"/>
        <w:rPr/>
      </w:pPr>
      <w:hyperlink w:anchor="ic43d4297645240379cadfae4c30a127c_10">
        <w:r>
          <w:rPr>
            <w:rStyle w:val="InternetLink"/>
            <w:rFonts w:ascii="Times New Roman;sans-serif" w:hAnsi="Times New Roman;sans-serif"/>
            <w:b w:val="false"/>
            <w:color w:val="0000FF"/>
            <w:sz w:val="20"/>
            <w:u w:val="single"/>
          </w:rPr>
          <w:t>Table of Contents</w:t>
        </w:r>
      </w:hyperlink>
      <w:r>
        <w:rPr>
          <w:color w:val="000000"/>
        </w:rPr>
        <w:t>                </w:t>
      </w:r>
    </w:p>
    <w:tbl>
      <w:tblPr>
        <w:tblW w:w="6314" w:type="dxa"/>
        <w:jc w:val="center"/>
        <w:tblInd w:w="0" w:type="dxa"/>
        <w:tblLayout w:type="fixed"/>
        <w:tblCellMar>
          <w:top w:w="28" w:type="dxa"/>
          <w:left w:w="28" w:type="dxa"/>
          <w:bottom w:w="28" w:type="dxa"/>
          <w:right w:w="28" w:type="dxa"/>
        </w:tblCellMar>
      </w:tblPr>
      <w:tblGrid>
        <w:gridCol w:w="796"/>
        <w:gridCol w:w="701"/>
        <w:gridCol w:w="707"/>
        <w:gridCol w:w="921"/>
        <w:gridCol w:w="921"/>
        <w:gridCol w:w="933"/>
        <w:gridCol w:w="389"/>
        <w:gridCol w:w="389"/>
        <w:gridCol w:w="557"/>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DREW MADSEN</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MIKE HYNES</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KATHY LOCKHART</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Kathy Lockhart</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JONES</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Jones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HARTNETT</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Hartnett</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 EGAN</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 Egan</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LYNCH</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Lynch</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BRITAIN PEAKES</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Britain Peakes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ELISA SCHREIBER</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Elisa Schreiber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SHAWN TAYLOR</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Shawn Taylor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10.49</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drawing>
          <wp:inline distT="0" distB="0" distL="0" distR="0">
            <wp:extent cx="2343150" cy="476250"/>
            <wp:effectExtent l="0" t="0" r="0" b="0"/>
            <wp:docPr id="7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 descr=""/>
                    <pic:cNvPicPr>
                      <a:picLocks noChangeAspect="1" noChangeArrowheads="1"/>
                    </pic:cNvPicPr>
                  </pic:nvPicPr>
                  <pic:blipFill>
                    <a:blip r:embed="rId65"/>
                    <a:stretch>
                      <a:fillRect/>
                    </a:stretch>
                  </pic:blipFill>
                  <pic:spPr bwMode="auto">
                    <a:xfrm>
                      <a:off x="0" y="0"/>
                      <a:ext cx="2343150" cy="4762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February 12, 2025</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Joseph Christina</w:t>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via email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Dear Joe,</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4"/>
        </w:rPr>
        <w:t xml:space="preserve">Here at Noodles &amp; Company, we have one mission: </w:t>
      </w:r>
      <w:r>
        <w:rPr>
          <w:rFonts w:ascii="Calibri;sans-serif" w:hAnsi="Calibri;sans-serif"/>
          <w:b/>
          <w:color w:val="000000"/>
          <w:sz w:val="24"/>
        </w:rPr>
        <w:t>To Always Nourish and Inspire Every Team Member, Guest, and Community We Serve</w:t>
      </w:r>
      <w:r>
        <w:rPr>
          <w:rFonts w:ascii="Calibri;sans-serif" w:hAnsi="Calibri;sans-serif"/>
          <w:b w:val="false"/>
          <w:color w:val="000000"/>
          <w:sz w:val="24"/>
        </w:rPr>
        <w:t xml:space="preserve">. You’ve inspired us, which is why we’d like to offer you a place at our table. Below are the specifics of our offer: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Your title is President and Chief Operating Officer.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Your start date will be February 24, 2025.</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You will report to Drew Madsen, Chief Executive Officer.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 xml:space="preserve">We would like to offer you a bi-weekly salary of $17,307.69 ($450,000.00 annualized), minus all obligatory withholdings.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 xml:space="preserve">You will have a bonus target of 75% of your annualized salary, pro-rated based on time in role during fiscal 2025. The terms of the bonus plan are subject to change, and you must still be an employee when the bonus is paid out.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4"/>
        </w:rPr>
        <w:t>You will be eligible for an annual merit review for fiscal 2025, effective in 2026 as long as you remain employed with Noodles &amp; Company, which may be pro-rated based on your time in position. The review might lead to an increase in your compensation and is tied to your annual performance review and performance criteria.</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4"/>
        </w:rPr>
        <w:t>We want you to have a continued stake in our success. As an inducement to join Noodles &amp; Company, you will receive an initial grant as soon as is practicable after your start date of 160,000 restricted stock units that vest over 4 years, with 25% vesting each year.</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4"/>
        </w:rPr>
        <w:t>In addition, beginning in 2026, you will be eligible to receive approved equity grants during our annual grant process, typically May of each year but subject to change. While these grants are subject to change as directed by the Compensation Committee of the company, your anticipated annual grant is currently $400,000, to be comprised of 60% performance-based stock units and 40% restricted stock units. All grants are awarded at a stock price approved by the Compensation Committee. The terms of this plan and the amount and features of your annual grants are subject to change, and you must still be employed when the grants are issued.</w:t>
      </w:r>
    </w:p>
    <w:p>
      <w:pPr>
        <w:pStyle w:val="TextBody"/>
        <w:bidi w:val="0"/>
        <w:spacing w:lineRule="auto" w:line="288"/>
        <w:ind w:left="0" w:right="0" w:hanging="360"/>
        <w:jc w:val="both"/>
        <w:rPr/>
      </w:pPr>
      <w:r>
        <w:rPr>
          <w:color w:val="000000"/>
        </w:rPr>
        <w:t>•</w:t>
      </w:r>
      <w:r>
        <w:rPr>
          <w:rFonts w:ascii="Calibri;sans-serif" w:hAnsi="Calibri;sans-serif"/>
          <w:b w:val="false"/>
          <w:color w:val="000000"/>
          <w:sz w:val="24"/>
        </w:rPr>
        <w:t>Noodles &amp; Company offers a variety of benefits for you, your spouse or domestic partner, and your family. Please refer to the 2024-2025 Employee Benefits Summary included with this letter for additional information. You will be able to enroll for your benefits online via Workday. If you choose to enroll, your benefits will be effective on the 1</w:t>
      </w:r>
      <w:r>
        <w:rPr>
          <w:rFonts w:ascii="Calibri;sans-serif" w:hAnsi="Calibri;sans-serif"/>
          <w:b w:val="false"/>
          <w:color w:val="000000"/>
          <w:sz w:val="16"/>
        </w:rPr>
        <w:t>st</w:t>
      </w:r>
      <w:r>
        <w:rPr>
          <w:color w:val="000000"/>
        </w:rPr>
        <w:t xml:space="preserve"> </w:t>
      </w:r>
      <w:r>
        <w:rPr>
          <w:rFonts w:ascii="Calibri;sans-serif" w:hAnsi="Calibri;sans-serif"/>
          <w:b w:val="false"/>
          <w:color w:val="000000"/>
          <w:sz w:val="24"/>
        </w:rPr>
        <w:t xml:space="preserve">of the month following 30 days from your start date. Employee health premiums are deducted from each bi-weekly paycheck on a pre-tax basis. </w:t>
      </w:r>
      <w:r>
        <w:rPr>
          <w:rFonts w:ascii="Calibri;sans-serif" w:hAnsi="Calibri;sans-serif"/>
          <w:b/>
          <w:color w:val="000000"/>
          <w:sz w:val="24"/>
          <w:u w:val="single"/>
        </w:rPr>
        <w:t>Please note the deadline for benefits enrollment is 31 days from your new hire date.</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4"/>
        </w:rPr>
        <w:t>You will be eligible for the company’s technology allowance, which is currently $100/month, paid via payroll with applicable deductions withheld.</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4"/>
        </w:rPr>
        <w:t>Note that all benefits offered are subject to change.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This offer is contingent upon the successful results of a background and reference check. You understand that the terms of this letter do not imply employment for a specific period. Your employment is at will; either you or the Company can terminate it at any time, with or without cause. The Company reserves the right to amend the bonus and benefits plans as necessary.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 xml:space="preserve">We look forward to having you join us. If you have any questions, please do not hesitate to contact me at 720-617-7544.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Sincerely,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JENNILEE CHILDS</w:t>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Jennilee Childs</w:t>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Vice President, Human Resources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 xml:space="preserve">Please sign below to accept this offer, then scan and email to jchilds@noodles.com. Please keep a copy for your personal files. </w:t>
      </w:r>
    </w:p>
    <w:p>
      <w:pPr>
        <w:pStyle w:val="TextBody"/>
        <w:bidi w:val="0"/>
        <w:spacing w:before="0" w:after="0"/>
        <w:jc w:val="left"/>
        <w:rPr/>
      </w:pPr>
      <w:r>
        <w:rPr/>
      </w:r>
    </w:p>
    <w:p>
      <w:pPr>
        <w:pStyle w:val="TextBody"/>
        <w:bidi w:val="0"/>
        <w:spacing w:lineRule="auto" w:line="288"/>
        <w:jc w:val="left"/>
        <w:rPr/>
      </w:pPr>
      <w:r>
        <w:rPr>
          <w:rFonts w:ascii="Calibri;sans-serif" w:hAnsi="Calibri;sans-serif"/>
          <w:b w:val="false"/>
          <w:color w:val="000000"/>
          <w:sz w:val="24"/>
        </w:rPr>
        <w:t xml:space="preserve">Signature: </w:t>
      </w:r>
      <w:r>
        <w:rPr>
          <w:rFonts w:ascii="Calibri;sans-serif" w:hAnsi="Calibri;sans-serif"/>
          <w:b w:val="false"/>
          <w:color w:val="000000"/>
          <w:sz w:val="24"/>
          <w:u w:val="single"/>
        </w:rPr>
        <w:t>/s/ JOSEPH CHRISTINA</w:t>
      </w:r>
      <w:r>
        <w:rPr>
          <w:color w:val="000000"/>
        </w:rPr>
        <w:t xml:space="preserve">                 </w:t>
      </w:r>
      <w:r>
        <w:rPr>
          <w:rFonts w:ascii="Calibri;sans-serif" w:hAnsi="Calibri;sans-serif"/>
          <w:b w:val="false"/>
          <w:color w:val="000000"/>
          <w:sz w:val="24"/>
        </w:rPr>
        <w:t xml:space="preserve">Date: </w:t>
      </w:r>
      <w:r>
        <w:rPr>
          <w:rFonts w:ascii="Calibri;sans-serif" w:hAnsi="Calibri;sans-serif"/>
          <w:b w:val="false"/>
          <w:color w:val="000000"/>
          <w:sz w:val="24"/>
          <w:u w:val="single"/>
        </w:rPr>
        <w:t>February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02020"/>
                                <w:sz w:val="20"/>
                              </w:rPr>
                            </w:pPr>
                            <w:r>
                              <w:rPr>
                                <w:rFonts w:ascii="Times New Roman;sans-serif" w:hAnsi="Times New Roman;sans-serif"/>
                                <w:b w:val="false"/>
                                <w:color w:val="2020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02020"/>
                          <w:sz w:val="20"/>
                        </w:rPr>
                      </w:pPr>
                      <w:r>
                        <w:rPr>
                          <w:rFonts w:ascii="Times New Roman;sans-serif" w:hAnsi="Times New Roman;sans-serif"/>
                          <w:b w:val="false"/>
                          <w:color w:val="20202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NOODLES &amp; COMPANY</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(Dated August 28, 2023)</w:t>
      </w:r>
    </w:p>
    <w:p>
      <w:pPr>
        <w:pStyle w:val="TextBody"/>
        <w:bidi w:val="0"/>
        <w:spacing w:lineRule="auto" w:line="288" w:before="240" w:after="283"/>
        <w:jc w:val="left"/>
        <w:rPr/>
      </w:pPr>
      <w:r>
        <w:rPr>
          <w:rFonts w:ascii="Times New Roman;sans-serif" w:hAnsi="Times New Roman;sans-serif"/>
          <w:b/>
          <w:color w:val="000000"/>
          <w:sz w:val="24"/>
        </w:rPr>
        <w:t>I.    </w:t>
      </w:r>
      <w:r>
        <w:rPr>
          <w:rFonts w:ascii="Times New Roman;sans-serif" w:hAnsi="Times New Roman;sans-serif"/>
          <w:b/>
          <w:color w:val="000000"/>
          <w:sz w:val="24"/>
          <w:u w:val="single"/>
        </w:rPr>
        <w:t>Introduction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Federal and state laws prohibit buying, selling or making other transfers of securities by persons who have material information that is not generally known or available to the public. These laws also prohibit persons with such material nonpublic information (“</w:t>
      </w:r>
      <w:r>
        <w:rPr>
          <w:rFonts w:ascii="Times New Roman;sans-serif" w:hAnsi="Times New Roman;sans-serif"/>
          <w:b w:val="false"/>
          <w:color w:val="000000"/>
          <w:sz w:val="24"/>
          <w:u w:val="single"/>
        </w:rPr>
        <w:t>Material Nonpublic Information</w:t>
      </w:r>
      <w:r>
        <w:rPr>
          <w:color w:val="000000"/>
        </w:rPr>
        <w:t>”</w:t>
      </w:r>
      <w:r>
        <w:rPr>
          <w:rFonts w:ascii="Times New Roman;sans-serif" w:hAnsi="Times New Roman;sans-serif"/>
          <w:b w:val="false"/>
          <w:color w:val="000000"/>
          <w:sz w:val="24"/>
        </w:rPr>
        <w:t>) from disclosing this information to others who trade.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In light of these prohibitions, Noodles &amp; Company (together with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adopted the following policy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regarding trading in securities by directors, officers, employees and consultants of the Company who have Material Nonpublic Information (as discussed below). It is the Company’s policy to comply with all applicable securities laws when issuing or repurchasing its securities. This Policy applies to each of such persons during the term of their employment or other relationship with the Company and </w:t>
      </w:r>
      <w:r>
        <w:rPr>
          <w:rFonts w:ascii="Times New Roman;sans-serif" w:hAnsi="Times New Roman;sans-serif"/>
          <w:b/>
          <w:color w:val="000000"/>
          <w:sz w:val="24"/>
          <w:u w:val="single"/>
        </w:rPr>
        <w:t>after</w:t>
      </w:r>
      <w:r>
        <w:rPr>
          <w:color w:val="000000"/>
        </w:rPr>
        <w:t xml:space="preserve"> </w:t>
      </w:r>
      <w:r>
        <w:rPr>
          <w:rFonts w:ascii="Times New Roman;sans-serif" w:hAnsi="Times New Roman;sans-serif"/>
          <w:b w:val="false"/>
          <w:color w:val="000000"/>
          <w:sz w:val="24"/>
        </w:rPr>
        <w:t>the termination of such relationship until such time as such person no longer has Material Nonpublic Information.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You are responsible for ensuring that you do not violate federal or state securities laws or this Policy. The Company designed this Policy to promote compliance with the federal securities laws, to protect the Company and you from the serious liabilities and penalties that can result from violations of these laws and to avoid situations which could damage its reputation for ethical conduct.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violate insider trading laws, you may have to pay civil fines for up to three times the profit gained or loss avoided by such trading, as well as criminal fines of up to $5 million. You also may have to serve a jail sentence of up to 20 years. In addition, the Company may face civil penalties up to the greater of approximately $1.0 million, or three times the profit gained or loss avoided as a result of your insider trading violations, as well as criminal fines of up to $25 million. </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Both the Securities and Exchange Commission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and The Nasdaq Stock Market (“</w:t>
      </w:r>
      <w:r>
        <w:rPr>
          <w:rFonts w:ascii="Times New Roman;sans-serif" w:hAnsi="Times New Roman;sans-serif"/>
          <w:b w:val="false"/>
          <w:color w:val="000000"/>
          <w:sz w:val="24"/>
          <w:u w:val="single"/>
        </w:rPr>
        <w:t>Nasdaq</w:t>
      </w:r>
      <w:r>
        <w:rPr>
          <w:color w:val="000000"/>
        </w:rPr>
        <w:t>”</w:t>
      </w:r>
      <w:r>
        <w:rPr>
          <w:rFonts w:ascii="Times New Roman;sans-serif" w:hAnsi="Times New Roman;sans-serif"/>
          <w:b w:val="false"/>
          <w:color w:val="000000"/>
          <w:sz w:val="24"/>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 and at all times. If you have any questions about whether or not you are permitted to engage in a transaction under this Policy, contact the Company’s General Counsel.</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II.    </w:t>
      </w:r>
      <w:r>
        <w:rPr>
          <w:rFonts w:ascii="Times New Roman;sans-serif" w:hAnsi="Times New Roman;sans-serif"/>
          <w:b/>
          <w:color w:val="000000"/>
          <w:sz w:val="24"/>
          <w:u w:val="single"/>
        </w:rPr>
        <w:t>Policies and Procedures</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A.    Trading Policy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You may not buy or sell a company’s securities when you have Material Nonpublic Information about that company. This policy against “insider trading” applies to trading in Company securities, as well as to trading in the securities of other companies with whom the Company has a business relationship, such as the Company’s customers, distributors and suppliers, partners or a firm with which the Company is negotiating a transaction.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You may not convey Material Nonpublic Information about the Company or another company to others. You also may not suggest that anyone purchase or sell any company’s securities while you are aware of Material Nonpublic Information about that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its securities, as well as to information about other companies with whom the Company has a business relationship. This policy does not restrict legitimate business communications on a “need to know” basis.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It is against Company policy for you to engage in short-term or speculative transactions in Company securities. As such, you may not engage in: (a) short-term trading (generally defined as selling Company securities within six months following a purchase); (b) short sales (selling Company securities you do not own); (c) transactions involving publicly traded options or other derivatives, such as trading in puts or calls with respect to Company securities; and (d) hedging transactions. </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It is against Company policy for you to pledge Company securities as collateral for a loan or to hold Company securities in a margin account.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restrictions apply to all directors, officers, employees and consultants. These restrictions also apply to anyone that lives in your household (other than household employees). The SEC and federal prosecutors may presume that trading by family members is based on information you supplied and may treat any such transactions as if you had traded yourself. If you have questions regarding the application of this Policy to related persons, please consult with the Company’s General Counsel.</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There is no exception for small transactions or transactions that may seem necessary or justifiable for independent reasons, such as the need to raise money for an emergency expenditure.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references to “trading” and “transactions” includes, among other things: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purchases and/or sales of Company securities in public markets;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sales of Company securities obtained through the exercise of employee stock options granted by the Company;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making gifts of Company securities; and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using Company securities to secure a loan.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Directors, officers, employees and consultants should consult the General Counsel if they have any questions.</w:t>
      </w:r>
    </w:p>
    <w:p>
      <w:pPr>
        <w:pStyle w:val="TextBody"/>
        <w:bidi w:val="0"/>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    What is “Material Nonpublic Information”?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Material Information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Material information generally means information that a reasonable investor would consider important in making an investment decision to buy, hold, or sell securities. Either positive or negative information may be material. Depending on the circumstances, common examples of information that may be material include: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val="false"/>
          <w:color w:val="000000"/>
          <w:sz w:val="24"/>
        </w:rPr>
        <w:t>earnings, revenue or similar financial information;</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unexpected financial results;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unpublished financial reports or projections;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extraordinary borrowing or liquidity problems;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changes in control;</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changes in directors, senior management or auditors;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information about current, proposed, or contemplated transactions, business plans, financial restructurings, acquisition targets or significant expansions or contractions of operations;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changes in dividend policies or the declaration of a stock split or the proposed or contemplated issuance, redemption or repurchase of securities;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material defaults under agreements or actions by creditors, clients or suppliers relating to a company’s credit rating;</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information about major contracts;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significant new product or menu developments or innovations;</w:t>
      </w:r>
    </w:p>
    <w:p>
      <w:pPr>
        <w:pStyle w:val="TextBody"/>
        <w:bidi w:val="0"/>
        <w:spacing w:lineRule="auto" w:line="288" w:before="240" w:after="283"/>
        <w:ind w:left="0" w:right="0" w:hanging="720"/>
        <w:jc w:val="both"/>
        <w:rPr/>
      </w:pPr>
      <w:r>
        <w:rPr>
          <w:color w:val="000000"/>
        </w:rPr>
        <w:t xml:space="preserve">• </w:t>
      </w:r>
      <w:r>
        <w:rPr>
          <w:rFonts w:ascii="Times New Roman;sans-serif" w:hAnsi="Times New Roman;sans-serif"/>
          <w:b w:val="false"/>
          <w:color w:val="000000"/>
          <w:sz w:val="24"/>
        </w:rPr>
        <w:t>information about financial problems;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the interruption of production or other aspects of a company’s business as a result of an accident, fire, natural disaster, or breakdown of labor negotiations;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incidents involving foodborne illness;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 xml:space="preserve">major environmental incidents; </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 xml:space="preserve">data breaches or other cybersecurity incidents; </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institution of, or developments in, major litigation, investigations or regulatory actions or proceedings; and</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4"/>
        </w:rPr>
        <w:t>information about Company affiliates.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Federal and Nasdaq investigators will scrutinize a questionable trade after the fact with the benefit of hindsight, so you should always err on the side of deciding that the information is material and not trade. If you have questions regarding specific transactions, please contact the General Counsel.</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Nonpublic Information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Nonpublic information is information that is not generally known or available to the public. We consider information to be available to the public only when: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it has been released to the public by the Company through appropriate channels (e.g., by means of a press release, SEC filing or a widely disseminated statement from a senior officer);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enough time has elapsed to permit the investment market to absorb and evaluate the information. As a general rule, you should consider information to be nonpublic until two full trading days have lapsed following the time of public disclosure.</w:t>
      </w:r>
    </w:p>
    <w:p>
      <w:pPr>
        <w:pStyle w:val="TextBody"/>
        <w:bidi w:val="0"/>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C.    Unauthorized Disclosure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directors, officers, employees and consultants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Communications with the Investment Community. If you receive inquiries of this nature, refer them to the General Counsel.</w:t>
      </w:r>
    </w:p>
    <w:p>
      <w:pPr>
        <w:pStyle w:val="TextBody"/>
        <w:bidi w:val="0"/>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D.    When and How to Trade Company Stock</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Overview</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Directors, officers and certain other employees and consultants who are so designated from time to time (such officers and designated employees and consultants, “</w:t>
      </w:r>
      <w:r>
        <w:rPr>
          <w:rFonts w:ascii="Times New Roman;sans-serif" w:hAnsi="Times New Roman;sans-serif"/>
          <w:b w:val="false"/>
          <w:color w:val="000000"/>
          <w:sz w:val="24"/>
          <w:u w:val="single"/>
        </w:rPr>
        <w:t>Restricted Employees</w:t>
      </w:r>
      <w:r>
        <w:rPr>
          <w:color w:val="000000"/>
        </w:rPr>
        <w:t>”</w:t>
      </w:r>
      <w:r>
        <w:rPr>
          <w:rFonts w:ascii="Times New Roman;sans-serif" w:hAnsi="Times New Roman;sans-serif"/>
          <w:b w:val="false"/>
          <w:color w:val="000000"/>
          <w:sz w:val="24"/>
        </w:rPr>
        <w:t>) are for purposes of this Policy required to comply with the restrictions covered below. Even if you are not a director or a Restricted Employee, however, following the procedures listed below may assist you in complying with this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Window Periods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Directors and Restricted Employees may only trade in Company securities from the date that is two full trading days after an earnings release is publicly disclosed to the end of business on the date that is 15 calendar days prior to the end of each quarter (such period, the “</w:t>
      </w:r>
      <w:r>
        <w:rPr>
          <w:rFonts w:ascii="Times New Roman;sans-serif" w:hAnsi="Times New Roman;sans-serif"/>
          <w:b w:val="false"/>
          <w:color w:val="000000"/>
          <w:sz w:val="24"/>
          <w:u w:val="single"/>
        </w:rPr>
        <w:t>Window Period</w:t>
      </w:r>
      <w:r>
        <w:rPr>
          <w:color w:val="000000"/>
        </w:rPr>
        <w:t>”</w:t>
      </w:r>
      <w:r>
        <w:rPr>
          <w:rFonts w:ascii="Times New Roman;sans-serif" w:hAnsi="Times New Roman;sans-serif"/>
          <w:b w:val="false"/>
          <w:color w:val="000000"/>
          <w:sz w:val="24"/>
        </w:rPr>
        <w:t>). So, for example, if our earnings call is held after the close of trading on Thursday, May 10, the Window Period opens at the beginning of trading on Tuesday May 15, after two full trading days (Friday and Monday) have elapsed. And if that quarter ends on Tuesday, July 3, the Window Period would close at the end of trading on Monday, June 18 (15 calendar days prior to July 3).</w:t>
      </w:r>
    </w:p>
    <w:p>
      <w:pPr>
        <w:pStyle w:val="TextBody"/>
        <w:bidi w:val="0"/>
        <w:spacing w:lineRule="auto" w:line="288" w:before="240" w:after="283"/>
        <w:ind w:left="0" w:right="0" w:firstLine="720"/>
        <w:jc w:val="both"/>
        <w:rPr/>
      </w:pPr>
      <w:r>
        <w:rPr>
          <w:rFonts w:ascii="Times New Roman;sans-serif" w:hAnsi="Times New Roman;sans-serif"/>
          <w:b/>
          <w:i/>
          <w:color w:val="000000"/>
          <w:sz w:val="24"/>
        </w:rPr>
        <w:t>Even if the Window Period is open, you may not trade in Company securities if you are aware of Material Nonpublic Information about the Company.</w:t>
      </w:r>
      <w:r>
        <w:rPr>
          <w:color w:val="000000"/>
        </w:rPr>
        <w:t xml:space="preserve"> </w:t>
      </w:r>
      <w:r>
        <w:rPr>
          <w:rFonts w:ascii="Times New Roman;sans-serif" w:hAnsi="Times New Roman;sans-serif"/>
          <w:b/>
          <w:i/>
          <w:color w:val="000000"/>
          <w:sz w:val="24"/>
        </w:rPr>
        <w:t xml:space="preserve">In addition, if you are subject to the Company’s pre-clearance policy (described below), you must pre-clear transactions even if you initiate them when the Window Period is open. </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From time to time during the Window Period, the Company may implement special blackout periods due to certain developments relating to Material Nonpublic Information during which the Company may notify particular individuals that they should not engage in any transactions involving the purchase or sale of Company securities or the securities of another company. If you are subject to a special blackout period, you should not trade in the applicable company’s securities during such time and you should not disclose to others the fact that you are prohibited from trading.</w:t>
      </w:r>
    </w:p>
    <w:p>
      <w:pPr>
        <w:pStyle w:val="TextBody"/>
        <w:bidi w:val="0"/>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However, it is not the Company’s policy to impose special blackout periods every time that Material Nonpublic Information exists, or every time that directors, officers, employees or consultants may be in the possession of Material Nonpublic Information. Thus, the absence of a special blackout should not be interpreted as permission to trade. In addition, if you are subject to the Company’s pre-clearance policy (described below), you must pre-clear transactions even if you initiate them while a special blackout period is not in place.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Even if the Window Period is closed or a special blackout period is in place, you may exercise Company stock options if no shares are to be sold – you may not, however, effect sales of stock issued upon the exercise of stock options (including same-day sales and cashless exercises). Generally, all pending purchase and sale orders regarding Company securities that could be executed while the Window Period is open and a special blackout period is not in place must be cancelled before the Window Period closes or a special blackout period is implemented so as to avoid any purchases and sales during any such periods.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light of these restrictions, if you expect a need to sell Company stock at a specific time in the future, you may wish to consider entering into a prearranged Rule 10b5-1 trading plan (as discussed below).</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Restricted Employee and you participate in the Company’s Employee Stock Purchase Plan (“ESPP”) and you wish to make investment elections during times that are not within a Window Period or are subject to a special blackout period, the Company’s policy is to require you to enter into an irrevocable investment election in the form of a letter to the Company delivered during a Window Period when a special blackout period is not in place, which will make the election on your behalf when permitted under our ESPP. Like any purchase or sale of our securities, investment elections under our ESPP are subject to this Policy and, if made by Restricted Employees, require pre-clearance by the General Counsel.</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Pre-clearance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In the absence of having an active Rule 10b5-1 trading plan in place, (i) the Company requires its directors and Restricted Employees (other than the Company’s CEO and General Counsel) to contact the General Counsel in advance of effecting any purchase, sale or other trading of Company securities and to obtain prior approval of the transaction and (ii) in the instance of the Company’s CEO or General Counsel, the Company requires that they contact the Chair of the Board of Directors of the Company (the “Board”) in advance of effecting any purchase, sale or other trading of Company securities and to obtain approval of the transaction.</w:t>
      </w:r>
      <w:r>
        <w:rPr>
          <w:rFonts w:ascii="Times New Roman;sans-serif" w:hAnsi="Times New Roman;sans-serif"/>
          <w:b w:val="false"/>
          <w:color w:val="0000FF"/>
          <w:sz w:val="13"/>
        </w:rPr>
        <w:t>1</w:t>
      </w:r>
      <w:r>
        <w:rPr>
          <w:color w:val="000000"/>
        </w:rPr>
        <w:t xml:space="preserve"> </w:t>
      </w:r>
      <w:r>
        <w:rPr>
          <w:rFonts w:ascii="Times New Roman;sans-serif" w:hAnsi="Times New Roman;sans-serif"/>
          <w:b/>
          <w:i/>
          <w:color w:val="000000"/>
          <w:sz w:val="24"/>
        </w:rPr>
        <w:t>The pre-clearance policy applies to directors and Restricted Employees even if they are initiating a transaction while the Window Period is open and a special blackout period is not in place.</w:t>
      </w:r>
      <w:r>
        <w:rPr>
          <w:color w:val="000000"/>
        </w:rPr>
        <w:t xml:space="preserve"> </w:t>
      </w:r>
      <w:r>
        <w:rPr>
          <w:rFonts w:ascii="Times New Roman;sans-serif" w:hAnsi="Times New Roman;sans-serif"/>
          <w:b w:val="false"/>
          <w:color w:val="000000"/>
          <w:sz w:val="24"/>
        </w:rPr>
        <w:t>The pre-clearance policy also applies to anyone that lives in the household (other than household employees) of a director or Restricted Employee.</w:t>
      </w:r>
      <w:r>
        <w:rPr>
          <w:color w:val="000000"/>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transaction is approved under the pre-clearance policy, the transaction must be executed by the end of the second full trading day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w:t>
      </w:r>
    </w:p>
    <w:p>
      <w:pPr>
        <w:pStyle w:val="TextBody"/>
        <w:bidi w:val="0"/>
        <w:spacing w:lineRule="auto" w:line="288" w:before="240" w:after="283"/>
        <w:ind w:left="0" w:right="0" w:hanging="360"/>
        <w:jc w:val="left"/>
        <w:rPr/>
      </w:pPr>
      <w:r>
        <w:rPr>
          <w:rFonts w:ascii="Times New Roman;sans-serif" w:hAnsi="Times New Roman;sans-serif"/>
          <w:b w:val="false"/>
          <w:color w:val="0000FF"/>
          <w:sz w:val="13"/>
        </w:rPr>
        <w:t>1</w:t>
      </w:r>
      <w:r>
        <w:rPr>
          <w:color w:val="000000"/>
        </w:rPr>
        <w:t xml:space="preserve">         </w:t>
      </w:r>
      <w:r>
        <w:rPr>
          <w:rFonts w:ascii="Times New Roman;sans-serif" w:hAnsi="Times New Roman;sans-serif"/>
          <w:b w:val="false"/>
          <w:color w:val="000000"/>
          <w:sz w:val="24"/>
        </w:rPr>
        <w:t>At any time when the Company does not have a non-executive Board Chair, the duties and responsibilities assigned to the Board Chair in this sentence shall be fulfilled by the Chair of the Audit Committee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 proposed transaction is not approved under the pre-clearance policy, you may not transact in Company stock, and you should not inform anyone within or outside of the Company of the restriction. Any transaction under a Rule 10b5-1 trading plan will not require pre-clearance at the time of the transaction. </w:t>
      </w:r>
    </w:p>
    <w:p>
      <w:pPr>
        <w:pStyle w:val="TextBody"/>
        <w:bidi w:val="0"/>
        <w:spacing w:lineRule="auto" w:line="288" w:before="240" w:after="283"/>
        <w:ind w:left="0" w:right="0" w:firstLine="720"/>
        <w:jc w:val="both"/>
        <w:rPr/>
      </w:pPr>
      <w:r>
        <w:rPr>
          <w:rFonts w:ascii="Times New Roman;sans-serif" w:hAnsi="Times New Roman;sans-serif"/>
          <w:b/>
          <w:color w:val="000000"/>
          <w:sz w:val="24"/>
        </w:rPr>
        <w:t>E.    Rule 10b5-1</w:t>
      </w:r>
      <w:r>
        <w:rPr>
          <w:color w:val="000000"/>
        </w:rPr>
        <w:t xml:space="preserve"> </w:t>
      </w:r>
      <w:r>
        <w:rPr>
          <w:rFonts w:ascii="Times New Roman;sans-serif" w:hAnsi="Times New Roman;sans-serif"/>
          <w:b/>
          <w:color w:val="000000"/>
          <w:sz w:val="24"/>
        </w:rPr>
        <w:t>Trading Plans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Rule 10b5-1 provides a defense from insider trading liability if trades occur pursuant to a pre-arranged trading plan that meets specified conditions. It is possible to pre-arrange trades in Company securities by entering into a written trading plan. Trading plans can be established for a single trade or a series of trades. A plan must either specify the number of securities to be bought or sold, along with the price and the date, or provide a written formula for determining this information. Alternatively, a trading plan can delegate investment discretion to a third party, such as a broker, who then makes trading decisions without further input from the person implementing the plan. Because the SEC rules on trading plans are complex, you should consult with your broker and be sure you fully understand the limitations and conditions of the rules before you establish a trading plan. </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All Rule 10b5-1 trading plans (other than those of the Company’s CEO and General Counsel) must be reviewed and approved in advance by the General Counsel. Any amendment, modification, or termination of a Rule 10b5-1 trading plan must also be approved in advance by the General Counsel. In the instance of the Company’s CEO or General Counsel, their Rule 10b5-1 trading plans must be reviewed and approved in advance by the Board Chair.</w:t>
      </w:r>
      <w:r>
        <w:rPr>
          <w:rFonts w:ascii="Times New Roman;sans-serif" w:hAnsi="Times New Roman;sans-serif"/>
          <w:b w:val="false"/>
          <w:color w:val="0000FF"/>
          <w:sz w:val="13"/>
        </w:rPr>
        <w:t>2</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F.    Noncompliance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Anyone who fails to comply with this Policy will be subject to appropriate disciplinary action, up to and including termination of employment.</w:t>
      </w:r>
    </w:p>
    <w:p>
      <w:pPr>
        <w:pStyle w:val="TextBody"/>
        <w:bidi w:val="0"/>
        <w:spacing w:before="240" w:after="283"/>
        <w:jc w:val="center"/>
        <w:rPr/>
      </w:pPr>
      <w:r>
        <w:rPr/>
      </w:r>
    </w:p>
    <w:p>
      <w:pPr>
        <w:pStyle w:val="TextBody"/>
        <w:bidi w:val="0"/>
        <w:spacing w:before="240" w:after="283"/>
        <w:ind w:left="0" w:right="0" w:firstLine="720"/>
        <w:jc w:val="left"/>
        <w:rPr/>
      </w:pPr>
      <w:r>
        <w:rPr/>
      </w:r>
    </w:p>
    <w:p>
      <w:pPr>
        <w:pStyle w:val="TextBody"/>
        <w:bidi w:val="0"/>
        <w:spacing w:lineRule="auto" w:line="288" w:before="240" w:after="283"/>
        <w:ind w:left="0" w:right="0" w:hanging="360"/>
        <w:jc w:val="left"/>
        <w:rPr/>
      </w:pPr>
      <w:r>
        <w:rPr>
          <w:rFonts w:ascii="Times New Roman;sans-serif" w:hAnsi="Times New Roman;sans-serif"/>
          <w:b w:val="false"/>
          <w:color w:val="0000FF"/>
          <w:sz w:val="13"/>
        </w:rPr>
        <w:t>2</w:t>
      </w:r>
      <w:r>
        <w:rPr>
          <w:color w:val="000000"/>
        </w:rPr>
        <w:t xml:space="preserve">         </w:t>
      </w:r>
      <w:r>
        <w:rPr>
          <w:rFonts w:ascii="Times New Roman;sans-serif" w:hAnsi="Times New Roman;sans-serif"/>
          <w:b w:val="false"/>
          <w:color w:val="000000"/>
          <w:sz w:val="24"/>
        </w:rPr>
        <w:t>At any time when the Company does not have a non-executive Board Chair, the duties and responsibilities assigned to the Board Chair in this sentence shall be fulfilled by the Chair of the Audit Committee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confirms that I have read and I understand Noodles &amp; Company’s Insider Trading Policy. I agree to comply with this Policy and certify that I will communicate with all members of my household to inform them of the obligations in this Policy that apply to them. I understand that violation of this Policy may subject me to discipline by the Company up to and including termination for cause.</w:t>
      </w:r>
    </w:p>
    <w:p>
      <w:pPr>
        <w:pStyle w:val="TextBody"/>
        <w:bidi w:val="0"/>
        <w:spacing w:before="240" w:after="283"/>
        <w:ind w:left="0" w:right="0" w:firstLine="720"/>
        <w:jc w:val="right"/>
        <w:rPr/>
      </w:pPr>
      <w:r>
        <w:rPr/>
      </w:r>
    </w:p>
    <w:tbl>
      <w:tblPr>
        <w:tblW w:w="1860" w:type="dxa"/>
        <w:jc w:val="right"/>
        <w:tblInd w:w="0" w:type="dxa"/>
        <w:tblLayout w:type="fixed"/>
        <w:tblCellMar>
          <w:top w:w="28" w:type="dxa"/>
          <w:left w:w="28" w:type="dxa"/>
          <w:bottom w:w="28" w:type="dxa"/>
          <w:right w:w="28" w:type="dxa"/>
        </w:tblCellMar>
      </w:tblPr>
      <w:tblGrid>
        <w:gridCol w:w="483"/>
        <w:gridCol w:w="425"/>
        <w:gridCol w:w="426"/>
        <w:gridCol w:w="154"/>
        <w:gridCol w:w="154"/>
        <w:gridCol w:w="218"/>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tbl>
      <w:tblPr>
        <w:tblW w:w="5938" w:type="dxa"/>
        <w:jc w:val="center"/>
        <w:tblInd w:w="0" w:type="dxa"/>
        <w:tblLayout w:type="fixed"/>
        <w:tblCellMar>
          <w:top w:w="28" w:type="dxa"/>
          <w:left w:w="28" w:type="dxa"/>
          <w:bottom w:w="28" w:type="dxa"/>
          <w:right w:w="28" w:type="dxa"/>
        </w:tblCellMar>
      </w:tblPr>
      <w:tblGrid>
        <w:gridCol w:w="1201"/>
        <w:gridCol w:w="1055"/>
        <w:gridCol w:w="1058"/>
        <w:gridCol w:w="767"/>
        <w:gridCol w:w="767"/>
        <w:gridCol w:w="1090"/>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TNSC, Inc.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Colorado, United States</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The Noodle Shop, Co. - Colorado,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Colorado, United States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20"/>
              </w:rPr>
            </w:pPr>
            <w:r>
              <w:rPr>
                <w:rFonts w:ascii="Times New Roman;sans-serif" w:hAnsi="Times New Roman;sans-serif"/>
                <w:b w:val="false"/>
                <w:color w:val="000000"/>
                <w:sz w:val="20"/>
              </w:rPr>
              <w:t>The Noodle Shop, Co. - Delaware, Inc.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20"/>
              </w:rPr>
            </w:pPr>
            <w:r>
              <w:rPr>
                <w:rFonts w:ascii="Times New Roman;sans-serif" w:hAnsi="Times New Roman;sans-serif"/>
                <w:b w:val="false"/>
                <w:color w:val="000000"/>
                <w:sz w:val="20"/>
              </w:rPr>
              <w:t>The Noodle Shop, Co. - Illinois,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Illinois, United States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The Noodle Shop, Co. - Kansas, LLC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Kansas, United States</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The Noodle Shop, Co. - Virginia,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Virginia, United States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The Noodle Shop, Co. - Wisconsin, Inc.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Wisconsin, United States</w:t>
            </w:r>
          </w:p>
        </w:tc>
      </w:tr>
    </w:tbl>
    <w:p>
      <w:pPr>
        <w:pStyle w:val="TextBody"/>
        <w:bidi w:val="0"/>
        <w:spacing w:before="20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6080"/>
                <wp:effectExtent l="0" t="0" r="0" b="0"/>
                <wp:wrapNone/>
                <wp:docPr id="90" name="Frame89"/>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S-8 No. 333-281490) pertaining to the Noodles &amp; Company 2024 Inducement Plan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333-272120) pertaining to the Noodles &amp; Company 2023 Stock Incentive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S-8 No. 333-189877) pertaining to the Noodles &amp; Company Employee Stock Purchase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(4)Registration Statement (Form S-8 No. 333-189878) pertaining to the Noodles &amp; Company Amended and Restated 2010 Stock Incentive Plan,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(5)Registration Statements (Form S-3 No. 333-217760 and No. 333-225238) of Noodles &amp;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 dated March 7, 2025, with respect to the consolidated financial statements of Noodles &amp; Company included in this Annual Report (Form 10-K) of Noodles &amp; Company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color w:val="000000"/>
        </w:rPr>
      </w:pPr>
      <w:r>
        <w:rPr>
          <w:color w:val="000000"/>
        </w:rPr>
        <w:t>        </w:t>
      </w:r>
      <w:r>
        <w:rPr>
          <w:rFonts w:ascii="Times New Roman;sans-serif" w:hAnsi="Times New Roman;sans-serif"/>
          <w:b/>
          <w:color w:val="000000"/>
          <w:sz w:val="20"/>
        </w:rPr>
        <w:t>Exhibit 31.1</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60"/>
        <w:jc w:val="center"/>
        <w:rPr>
          <w:color w:val="000000"/>
        </w:rPr>
      </w:pPr>
      <w:r>
        <w:rPr>
          <w:color w:val="000000"/>
        </w:rPr>
        <w:t>    </w:t>
      </w:r>
    </w:p>
    <w:p>
      <w:pPr>
        <w:pStyle w:val="TextBody"/>
        <w:bidi w:val="0"/>
        <w:spacing w:lineRule="auto" w:line="288" w:before="2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Drew Madsen, certify that: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Noodles and Company;</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2025 </w:t>
      </w:r>
    </w:p>
    <w:p>
      <w:pPr>
        <w:pStyle w:val="TextBody"/>
        <w:bidi w:val="0"/>
        <w:spacing w:before="0" w:after="0"/>
        <w:jc w:val="left"/>
        <w:rPr/>
      </w:pPr>
      <w:r>
        <w:rPr/>
      </w:r>
    </w:p>
    <w:tbl>
      <w:tblPr>
        <w:tblW w:w="2816" w:type="dxa"/>
        <w:jc w:val="center"/>
        <w:tblInd w:w="0" w:type="dxa"/>
        <w:tblLayout w:type="fixed"/>
        <w:tblCellMar>
          <w:top w:w="28" w:type="dxa"/>
          <w:left w:w="28" w:type="dxa"/>
          <w:bottom w:w="28" w:type="dxa"/>
          <w:right w:w="28" w:type="dxa"/>
        </w:tblCellMar>
      </w:tblPr>
      <w:tblGrid>
        <w:gridCol w:w="124"/>
        <w:gridCol w:w="109"/>
        <w:gridCol w:w="109"/>
        <w:gridCol w:w="684"/>
        <w:gridCol w:w="684"/>
        <w:gridCol w:w="686"/>
        <w:gridCol w:w="123"/>
        <w:gridCol w:w="123"/>
        <w:gridCol w:w="1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DREW MADSEN</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60"/>
        <w:jc w:val="center"/>
        <w:rPr>
          <w:color w:val="000000"/>
        </w:rPr>
      </w:pPr>
      <w:r>
        <w:rPr>
          <w:color w:val="000000"/>
        </w:rPr>
        <w:t>    </w:t>
      </w:r>
    </w:p>
    <w:p>
      <w:pPr>
        <w:pStyle w:val="TextBody"/>
        <w:bidi w:val="0"/>
        <w:spacing w:lineRule="auto" w:line="288" w:before="2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Mike Hynes, certify that: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Noodles and Company;</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8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2025 </w:t>
      </w:r>
    </w:p>
    <w:p>
      <w:pPr>
        <w:pStyle w:val="TextBody"/>
        <w:bidi w:val="0"/>
        <w:spacing w:before="0" w:after="0"/>
        <w:jc w:val="left"/>
        <w:rPr/>
      </w:pPr>
      <w:r>
        <w:rPr/>
      </w:r>
    </w:p>
    <w:tbl>
      <w:tblPr>
        <w:tblW w:w="2754" w:type="dxa"/>
        <w:jc w:val="center"/>
        <w:tblInd w:w="0" w:type="dxa"/>
        <w:tblLayout w:type="fixed"/>
        <w:tblCellMar>
          <w:top w:w="28" w:type="dxa"/>
          <w:left w:w="28" w:type="dxa"/>
          <w:bottom w:w="28" w:type="dxa"/>
          <w:right w:w="28" w:type="dxa"/>
        </w:tblCellMar>
      </w:tblPr>
      <w:tblGrid>
        <w:gridCol w:w="124"/>
        <w:gridCol w:w="109"/>
        <w:gridCol w:w="109"/>
        <w:gridCol w:w="649"/>
        <w:gridCol w:w="649"/>
        <w:gridCol w:w="652"/>
        <w:gridCol w:w="135"/>
        <w:gridCol w:w="135"/>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CHIEF FINANCIAL OFFICER </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Drew Madsen, certify, pursuant to 18 U.S.C. Section 1350, as adopted pursuant to Section 906 of the Sarbanes-Oxley Act of 2002, that the Annual Report of Noodles &amp; Company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Noodles &amp; Company.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2025 </w:t>
      </w:r>
    </w:p>
    <w:p>
      <w:pPr>
        <w:pStyle w:val="TextBody"/>
        <w:bidi w:val="0"/>
        <w:spacing w:lineRule="auto" w:line="288" w:before="0" w:after="0"/>
        <w:jc w:val="left"/>
        <w:rPr>
          <w:color w:val="000000"/>
        </w:rPr>
      </w:pPr>
      <w:r>
        <w:rPr>
          <w:color w:val="000000"/>
        </w:rPr>
        <w:t> </w:t>
      </w:r>
    </w:p>
    <w:tbl>
      <w:tblPr>
        <w:tblW w:w="3367"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DREW MADSEN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Mike Hynes, certify, pursuant to 18 U.S.C. Section 1350, as adopted pursuant to Section 906 of the Sarbanes-Oxley Act of 2002, that the Annual Report of Noodles &amp; Company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Noodles &amp; Company.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bl>
      <w:tblPr>
        <w:tblW w:w="3307"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586"/>
        <w:gridCol w:w="586"/>
        <w:gridCol w:w="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this Annual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5158/000127515813000005/exhibit31.htm" TargetMode="External"/><Relationship Id="rId3" Type="http://schemas.openxmlformats.org/officeDocument/2006/relationships/hyperlink" Target="https://www.sec.gov/Archives/edgar/data/1275158/000127515815000065/exhibit31secondamendandres.htm" TargetMode="External"/><Relationship Id="rId4" Type="http://schemas.openxmlformats.org/officeDocument/2006/relationships/hyperlink" Target="https://www.sec.gov/Archives/edgar/data/1275158/000104746913006990/a2215619zex-4_1.htm" TargetMode="External"/><Relationship Id="rId5" Type="http://schemas.openxmlformats.org/officeDocument/2006/relationships/hyperlink" Target="https://www.sec.gov/Archives/edgar/data/1275158/000127515817000006/ex41certificateofdesignati.htm" TargetMode="External"/><Relationship Id="rId6" Type="http://schemas.openxmlformats.org/officeDocument/2006/relationships/hyperlink" Target="https://www.sec.gov/Archives/edgar/data/1275158/000127515817000006/ex42formofwarranttopurchas.htm" TargetMode="External"/><Relationship Id="rId7" Type="http://schemas.openxmlformats.org/officeDocument/2006/relationships/hyperlink" Target="https://www.sec.gov/Archives/edgar/data/1275158/000127515821000015/ex44descriptionofsec12secu.htm" TargetMode="External"/><Relationship Id="rId8" Type="http://schemas.openxmlformats.org/officeDocument/2006/relationships/hyperlink" Target="https://www.sec.gov/Archives/edgar/data/1275158/000104746913006990/a2215619zex-10_1.htm" TargetMode="External"/><Relationship Id="rId9" Type="http://schemas.openxmlformats.org/officeDocument/2006/relationships/hyperlink" Target="https://www.sec.gov/Archives/edgar/data/1275158/000104746913006990/a2215619zex-10_2.htm" TargetMode="External"/><Relationship Id="rId10" Type="http://schemas.openxmlformats.org/officeDocument/2006/relationships/hyperlink" Target="https://www.sec.gov/Archives/edgar/data/1275158/000127515822000076/ex101thirdamendmenttocredi.htm" TargetMode="External"/><Relationship Id="rId11" Type="http://schemas.openxmlformats.org/officeDocument/2006/relationships/hyperlink" Target="https://www.sec.gov/Archives/edgar/data/1275158/000127515823000100/firstamendmenttoamendedand.htm" TargetMode="External"/><Relationship Id="rId12" Type="http://schemas.openxmlformats.org/officeDocument/2006/relationships/hyperlink" Target="https://www.sec.gov/Archives/edgar/data/1275158/000127515824000093/secondamendmenttoamendedan.htm" TargetMode="External"/><Relationship Id="rId13" Type="http://schemas.openxmlformats.org/officeDocument/2006/relationships/hyperlink" Target="https://www.sec.gov/Archives/edgar/data/1275158/000127515824000093/secondamendmenttoamendedan.htm" TargetMode="External"/><Relationship Id="rId14" Type="http://schemas.openxmlformats.org/officeDocument/2006/relationships/hyperlink" Target="https://www.sec.gov/Archives/edgar/data/1275158/000127515824000093/secondamendmenttoamendedan.htm" TargetMode="External"/><Relationship Id="rId15" Type="http://schemas.openxmlformats.org/officeDocument/2006/relationships/hyperlink" Target="https://www.sec.gov/Archives/edgar/data/1275158/000127515818000035/exhibit102ndlssecurity.htm" TargetMode="External"/><Relationship Id="rId16" Type="http://schemas.openxmlformats.org/officeDocument/2006/relationships/hyperlink" Target="https://www.sec.gov/Archives/edgar/data/1275158/000127515818000035/exhibit103ndlspledgeag.htm" TargetMode="External"/><Relationship Id="rId17" Type="http://schemas.openxmlformats.org/officeDocument/2006/relationships/hyperlink" Target="https://www.sec.gov/Archives/edgar/data/1275158/000104746913006990/a2215619zex-10_15.htm" TargetMode="External"/><Relationship Id="rId18" Type="http://schemas.openxmlformats.org/officeDocument/2006/relationships/hyperlink" Target="https://www.sec.gov/Archives/edgar/data/1275158/000127515815000005/exhibit109formofareadevelo.htm" TargetMode="External"/><Relationship Id="rId19" Type="http://schemas.openxmlformats.org/officeDocument/2006/relationships/hyperlink" Target="https://www.sec.gov/Archives/edgar/data/1275158/000127515815000005/exhibit1010formoffranchise.htm" TargetMode="External"/><Relationship Id="rId20" Type="http://schemas.openxmlformats.org/officeDocument/2006/relationships/hyperlink" Target="https://www.sec.gov/Archives/edgar/data/1275158/000127515817000109/ex107formofstockoption.htm" TargetMode="External"/><Relationship Id="rId21" Type="http://schemas.openxmlformats.org/officeDocument/2006/relationships/hyperlink" Target="https://www.sec.gov/Archives/edgar/data/1275158/000127515817000109/ex108formofrestricteds.htm" TargetMode="External"/><Relationship Id="rId22" Type="http://schemas.openxmlformats.org/officeDocument/2006/relationships/hyperlink" Target="https://www.sec.gov/Archives/edgar/data/1275158/000127515817000109/ex109formofnon-employe.htm" TargetMode="External"/><Relationship Id="rId23" Type="http://schemas.openxmlformats.org/officeDocument/2006/relationships/hyperlink" Target="https://www.sec.gov/Archives/edgar/data/1275158/000104746913006990/a2215619zex-10_22.htm" TargetMode="External"/><Relationship Id="rId24" Type="http://schemas.openxmlformats.org/officeDocument/2006/relationships/hyperlink" Target="https://www.sec.gov/Archives/edgar/data/1275158/000127515817000020/ex102_letteragreementdated.htm" TargetMode="External"/><Relationship Id="rId25" Type="http://schemas.openxmlformats.org/officeDocument/2006/relationships/hyperlink" Target="https://www.sec.gov/Archives/edgar/data/1275158/000127515817000020/ex101securitiespurchaseagr.htm" TargetMode="External"/><Relationship Id="rId26" Type="http://schemas.openxmlformats.org/officeDocument/2006/relationships/hyperlink" Target="https://www.sec.gov/Archives/edgar/data/1275158/000127515819000010/ex1034amendeddirectorcomp.htm" TargetMode="External"/><Relationship Id="rId27" Type="http://schemas.openxmlformats.org/officeDocument/2006/relationships/hyperlink" Target="https://www.sec.gov/Archives/edgar/data/1275158/000127515820000084/ex102compensationplanf.htm" TargetMode="External"/><Relationship Id="rId28" Type="http://schemas.openxmlformats.org/officeDocument/2006/relationships/hyperlink" Target="https://www.sec.gov/Archives/edgar/data/1275158/000127515820000014/a2019q4ex1035.htm" TargetMode="External"/><Relationship Id="rId29" Type="http://schemas.openxmlformats.org/officeDocument/2006/relationships/hyperlink" Target="https://www.sec.gov/Archives/edgar/data/1275158/000127515820000122/a2020q3ex102bradwestem.htm" TargetMode="External"/><Relationship Id="rId30" Type="http://schemas.openxmlformats.org/officeDocument/2006/relationships/hyperlink" Target="https://www.sec.gov/Archives/edgar/data/1275158/000127515821000065/psuagreement-psutm032021fi.htm" TargetMode="External"/><Relationship Id="rId31" Type="http://schemas.openxmlformats.org/officeDocument/2006/relationships/hyperlink" Target="https://www.sec.gov/Archives/edgar/data/1275158/000127515821000104/a2021q2ex101kathylockharte.htm" TargetMode="External"/><Relationship Id="rId32" Type="http://schemas.openxmlformats.org/officeDocument/2006/relationships/hyperlink" Target="https://www.sec.gov/Archives/edgar/data/1275158/000127515821000104/a2021q2ex103coreyklineempl.htm" TargetMode="External"/><Relationship Id="rId33" Type="http://schemas.openxmlformats.org/officeDocument/2006/relationships/hyperlink" Target="https://www.sec.gov/Archives/edgar/data/1275158/000127515822000006/ex10ormof2019performancere.htm" TargetMode="External"/><Relationship Id="rId34" Type="http://schemas.openxmlformats.org/officeDocument/2006/relationships/hyperlink" Target="https://www.sec.gov/Archives/edgar/data/1275158/000127515822000044/ex101formof2022performance.htm" TargetMode="External"/><Relationship Id="rId35" Type="http://schemas.openxmlformats.org/officeDocument/2006/relationships/hyperlink" Target="https://www.sec.gov/Archives/edgar/data/1275158/000127515822000083/ex101rsuagreement-gmequity.htm" TargetMode="External"/><Relationship Id="rId36" Type="http://schemas.openxmlformats.org/officeDocument/2006/relationships/hyperlink" Target="https://www.sec.gov/Archives/edgar/data/1275158/000127515823000041/formof2023restrictedstocka.htm" TargetMode="External"/><Relationship Id="rId37" Type="http://schemas.openxmlformats.org/officeDocument/2006/relationships/hyperlink" Target="https://www.sec.gov/Archives/edgar/data/1275158/000127515823000041/formof2023performancersuag.htm" TargetMode="External"/><Relationship Id="rId38" Type="http://schemas.openxmlformats.org/officeDocument/2006/relationships/hyperlink" Target="https://www.sec.gov/Archives/edgar/data/1275158/000127515823000041/formof2023gmrsuagreement.htm" TargetMode="External"/><Relationship Id="rId39" Type="http://schemas.openxmlformats.org/officeDocument/2006/relationships/hyperlink" Target="https://www.sec.gov/Archives/edgar/data/1275158/000127515823000088/ex101non-employeedirectorc.htm" TargetMode="External"/><Relationship Id="rId40" Type="http://schemas.openxmlformats.org/officeDocument/2006/relationships/hyperlink" Target="https://www.sec.gov/Archives/edgar/data/1275158/000127515823000049/ex991ndls2023stockincentiv.htm" TargetMode="External"/><Relationship Id="rId41" Type="http://schemas.openxmlformats.org/officeDocument/2006/relationships/hyperlink" Target="https://www.sec.gov/Archives/edgar/data/1275158/000127515823000067/mikehynesemploymentagreeme.htm" TargetMode="External"/><Relationship Id="rId42" Type="http://schemas.openxmlformats.org/officeDocument/2006/relationships/hyperlink" Target="https://www.sec.gov/Archives/edgar/data/1275158/000127515823000067/mikehynesofferletter.htm" TargetMode="External"/><Relationship Id="rId43" Type="http://schemas.openxmlformats.org/officeDocument/2006/relationships/hyperlink" Target="https://www.sec.gov/Archives/edgar/data/1275158/000127515823000096/drewmadsenofferletter.htm" TargetMode="External"/><Relationship Id="rId44" Type="http://schemas.openxmlformats.org/officeDocument/2006/relationships/hyperlink" Target="https://www.sec.gov/Archives/edgar/data/1275158/000127515823000096/drewmadsenrsuagreement.htm" TargetMode="External"/><Relationship Id="rId45" Type="http://schemas.openxmlformats.org/officeDocument/2006/relationships/hyperlink" Target="https://www.sec.gov/Archives/edgar/data/1275158/000127515824000041/ex101formof2024rsuagreemen.htm" TargetMode="External"/><Relationship Id="rId46" Type="http://schemas.openxmlformats.org/officeDocument/2006/relationships/hyperlink" Target="https://www.sec.gov/Archives/edgar/data/1275158/000127515824000005/ex101drewmadsenemploymenta.htm" TargetMode="External"/><Relationship Id="rId47" Type="http://schemas.openxmlformats.org/officeDocument/2006/relationships/hyperlink" Target="https://www.sec.gov/Archives/edgar/data/1275158/000127515824000005/ex102drewmadsenoptiongrant.htm" TargetMode="External"/><Relationship Id="rId48" Type="http://schemas.openxmlformats.org/officeDocument/2006/relationships/hyperlink" Target="https://www.sec.gov/Archives/edgar/data/1275158/000127515824000005/ex103drewmadsenformofrsugr.htm" TargetMode="External"/><Relationship Id="rId49" Type="http://schemas.openxmlformats.org/officeDocument/2006/relationships/hyperlink" Target="https://www.sec.gov/Archives/edgar/data/1275158/000127515824000005/ex104drewmadsenpsuagreemen.htm" TargetMode="External"/><Relationship Id="rId50" Type="http://schemas.openxmlformats.org/officeDocument/2006/relationships/hyperlink" Target="https://www.sec.gov/Archives/edgar/data/1275158/000127515824000084/ex101formof2024restricteds.htm" TargetMode="External"/><Relationship Id="rId51" Type="http://schemas.openxmlformats.org/officeDocument/2006/relationships/hyperlink" Target="https://www.sec.gov/Archives/edgar/data/1275158/000127515824000084/ex102formof2024performance.htm" TargetMode="External"/><Relationship Id="rId52" Type="http://schemas.openxmlformats.org/officeDocument/2006/relationships/hyperlink" Target="https://www.sec.gov/Archives/edgar/data/1275158/000127515824000084/ex103formof2024restricteds.htm" TargetMode="External"/><Relationship Id="rId53" Type="http://schemas.openxmlformats.org/officeDocument/2006/relationships/hyperlink" Target="https://www.sec.gov/Archives/edgar/data/1275158/000127515824000084/ex104scottdavisemploymenta.htm" TargetMode="External"/><Relationship Id="rId54" Type="http://schemas.openxmlformats.org/officeDocument/2006/relationships/hyperlink" Target="https://www.sec.gov/Archives/edgar/data/1275158/000127515824000066/ex10-1supportagreementdtd0.htm" TargetMode="External"/><Relationship Id="rId55" Type="http://schemas.openxmlformats.org/officeDocument/2006/relationships/hyperlink" Target="https://www.sec.gov/Archives/edgar/data/1275158/000127515824000090/ex101transitionservicesand.htm" TargetMode="External"/><Relationship Id="rId56" Type="http://schemas.openxmlformats.org/officeDocument/2006/relationships/hyperlink" Target="https://www.sec.gov/Archives/edgar/data/1275158/000127515824000072/ex101melissaheidmanseparat.htm" TargetMode="External"/><Relationship Id="rId57" Type="http://schemas.openxmlformats.org/officeDocument/2006/relationships/hyperlink" Target="https://www.sec.gov/Archives/edgar/data/1275158/000127515825000008/ex101josephchristinaemploy.htm" TargetMode="External"/><Relationship Id="rId58" Type="http://schemas.openxmlformats.org/officeDocument/2006/relationships/hyperlink" Target="https://www.sec.gov/Archives/edgar/data/1275158/000127515825000008/ex101josephchristinaemploy.htm" TargetMode="External"/><Relationship Id="rId59" Type="http://schemas.openxmlformats.org/officeDocument/2006/relationships/hyperlink" Target="https://www.sec.gov/Archives/edgar/data/1275158/000127515825000008/ex101josephchristinaemploy.htm" TargetMode="External"/><Relationship Id="rId60" Type="http://schemas.openxmlformats.org/officeDocument/2006/relationships/hyperlink" Target="https://www.sec.gov/Archives/edgar/data/1275158/000127515825000008/ex101josephchristinaemploy.htm" TargetMode="External"/><Relationship Id="rId61" Type="http://schemas.openxmlformats.org/officeDocument/2006/relationships/hyperlink" Target="https://www.sec.gov/Archives/edgar/data/1275158/000127515825000008/ex101josephchristinaemploy.htm" TargetMode="External"/><Relationship Id="rId62" Type="http://schemas.openxmlformats.org/officeDocument/2006/relationships/hyperlink" Target="https://www.sec.gov/Archives/edgar/data/1275158/000127515825000008/ex101josephchristinaemploy.htm" TargetMode="External"/><Relationship Id="rId63" Type="http://schemas.openxmlformats.org/officeDocument/2006/relationships/hyperlink" Target="https://www.sec.gov/Archives/edgar/data/1275158/000127515825000008/ex101josephchristinaemploy.htm" TargetMode="External"/><Relationship Id="rId64" Type="http://schemas.openxmlformats.org/officeDocument/2006/relationships/hyperlink" Target="https://www.sec.gov/Archives/edgar/data/1275158/000127515824000007/a2023q4ex971ndlsdoddfrankc.htm" TargetMode="External"/><Relationship Id="rId65" Type="http://schemas.openxmlformats.org/officeDocument/2006/relationships/image" Target="media/image1.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45087</Words>
  <Characters>252036</Characters>
  <CharactersWithSpaces>296117</CharactersWithSpaces>
  <Paragraphs>3376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