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before="0" w:after="0"/>
        <w:ind w:left="0" w:right="0" w:hanging="360"/>
        <w:jc w:val="center"/>
        <w:rPr/>
      </w:pPr>
      <w:r>
        <w:rPr/>
      </w:r>
    </w:p>
    <w:p>
      <w:pPr>
        <w:pStyle w:val="TextBody"/>
        <w:bidi w:val="0"/>
        <w:spacing w:before="0" w:after="100"/>
        <w:jc w:val="left"/>
        <w:rPr/>
      </w:pPr>
      <w:r>
        <w:rPr/>
      </w:r>
    </w:p>
    <w:p>
      <w:pPr>
        <w:pStyle w:val="TextBody"/>
        <w:bidi w:val="0"/>
        <w:spacing w:lineRule="auto" w:line="288" w:before="0" w:after="0"/>
        <w:jc w:val="center"/>
        <w:rPr/>
      </w:pPr>
      <w:r>
        <w:rPr>
          <w:color w:val="000000"/>
        </w:rPr>
        <w:t xml:space="preserve">    ☒    </w:t>
      </w:r>
      <w:r>
        <w:rPr>
          <w:rFonts w:ascii="Times New Roman;serif" w:hAnsi="Times New Roman;serif"/>
          <w:b/>
          <w:color w:val="000000"/>
          <w:sz w:val="20"/>
        </w:rPr>
        <w:t>QUARTERLY REPORT PURSUANT TO SECTION 13 OR 15(d) OF THE SECURITIES EXCHANGE ACT OF 1934</w:t>
      </w:r>
      <w:r>
        <w:rPr>
          <w:color w:val="00000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00" w:after="283"/>
        <w:jc w:val="center"/>
        <w:rPr/>
      </w:pPr>
      <w:r>
        <w:rPr>
          <w:color w:val="000000"/>
        </w:rPr>
        <w:t xml:space="preserve">    ☐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001-35987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 xml:space="preserve">NOODLES &amp; COMPANY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84-1303469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center"/>
        <w:tblInd w:w="0" w:type="dxa"/>
        <w:tblLayout w:type="fixed"/>
        <w:tblCellMar>
          <w:top w:w="28" w:type="dxa"/>
          <w:left w:w="28" w:type="dxa"/>
          <w:bottom w:w="28" w:type="dxa"/>
          <w:right w:w="28" w:type="dxa"/>
        </w:tblCellMar>
      </w:tblPr>
      <w:tblGrid>
        <w:gridCol w:w="1193"/>
        <w:gridCol w:w="1048"/>
        <w:gridCol w:w="1059"/>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Broomfield,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(720) 214-1900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234" w:type="dxa"/>
        <w:jc w:val="center"/>
        <w:tblInd w:w="0" w:type="dxa"/>
        <w:tblLayout w:type="fixed"/>
        <w:tblCellMar>
          <w:top w:w="28" w:type="dxa"/>
          <w:left w:w="28" w:type="dxa"/>
          <w:bottom w:w="28" w:type="dxa"/>
          <w:right w:w="28" w:type="dxa"/>
        </w:tblCellMar>
      </w:tblPr>
      <w:tblGrid>
        <w:gridCol w:w="1365"/>
        <w:gridCol w:w="1192"/>
        <w:gridCol w:w="1208"/>
        <w:gridCol w:w="414"/>
        <w:gridCol w:w="414"/>
        <w:gridCol w:w="416"/>
        <w:gridCol w:w="945"/>
        <w:gridCol w:w="945"/>
        <w:gridCol w:w="1335"/>
      </w:tblGrid>
      <w:tr>
        <w:trPr/>
        <w:tc>
          <w:tcPr>
            <w:tcW w:w="136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NDLS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ind w:left="0" w:right="0" w:firstLine="270"/>
        <w:jc w:val="left"/>
        <w:rPr/>
      </w:pPr>
      <w:r>
        <w:rPr>
          <w:rFonts w:ascii="Times New Roman;serif" w:hAnsi="Times New Roman;serif"/>
          <w:b w:val="false"/>
          <w:color w:val="000000"/>
          <w:sz w:val="16"/>
        </w:rPr>
        <w:t>Yes </w:t>
      </w:r>
      <w:r>
        <w:rPr>
          <w:color w:val="000000"/>
        </w:rPr>
        <w:t xml:space="preserve"> ☒ </w:t>
      </w:r>
      <w:r>
        <w:rPr>
          <w:rFonts w:ascii="Times New Roman;serif" w:hAnsi="Times New Roman;serif"/>
          <w:b w:val="false"/>
          <w:color w:val="000000"/>
          <w:sz w:val="16"/>
        </w:rPr>
        <w:t>No </w:t>
      </w:r>
      <w:r>
        <w:rPr>
          <w:color w:val="000000"/>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270"/>
        <w:jc w:val="left"/>
        <w:rPr/>
      </w:pPr>
      <w:r>
        <w:rPr/>
      </w:r>
    </w:p>
    <w:p>
      <w:pPr>
        <w:pStyle w:val="TextBody"/>
        <w:bidi w:val="0"/>
        <w:spacing w:lineRule="auto" w:line="288" w:before="80" w:after="283"/>
        <w:ind w:left="0" w:right="0" w:firstLine="27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146" w:type="dxa"/>
        <w:jc w:val="center"/>
        <w:tblInd w:w="0" w:type="dxa"/>
        <w:tblLayout w:type="fixed"/>
        <w:tblCellMar>
          <w:top w:w="28" w:type="dxa"/>
          <w:left w:w="28" w:type="dxa"/>
          <w:bottom w:w="28" w:type="dxa"/>
          <w:right w:w="28" w:type="dxa"/>
        </w:tblCellMar>
      </w:tblPr>
      <w:tblGrid>
        <w:gridCol w:w="1302"/>
        <w:gridCol w:w="1151"/>
        <w:gridCol w:w="1161"/>
        <w:gridCol w:w="109"/>
        <w:gridCol w:w="109"/>
        <w:gridCol w:w="109"/>
        <w:gridCol w:w="644"/>
        <w:gridCol w:w="644"/>
        <w:gridCol w:w="917"/>
      </w:tblGrid>
      <w:tr>
        <w:trPr/>
        <w:tc>
          <w:tcPr>
            <w:tcW w:w="130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May 1, 2026</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5,892,049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80" w:type="dxa"/>
        <w:jc w:val="center"/>
        <w:tblInd w:w="0" w:type="dxa"/>
        <w:tblLayout w:type="fixed"/>
        <w:tblCellMar>
          <w:top w:w="28" w:type="dxa"/>
          <w:left w:w="28" w:type="dxa"/>
          <w:bottom w:w="28" w:type="dxa"/>
          <w:right w:w="28" w:type="dxa"/>
        </w:tblCellMar>
      </w:tblPr>
      <w:tblGrid>
        <w:gridCol w:w="283"/>
        <w:gridCol w:w="248"/>
        <w:gridCol w:w="249"/>
        <w:gridCol w:w="264"/>
        <w:gridCol w:w="264"/>
        <w:gridCol w:w="266"/>
        <w:gridCol w:w="2443"/>
        <w:gridCol w:w="2443"/>
        <w:gridCol w:w="2449"/>
        <w:gridCol w:w="167"/>
        <w:gridCol w:w="167"/>
        <w:gridCol w:w="237"/>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
              <w:r>
                <w:rPr>
                  <w:rStyle w:val="InternetLink"/>
                  <w:rFonts w:ascii="Times New Roman;serif" w:hAnsi="Times New Roman;serif"/>
                  <w:b w:val="false"/>
                  <w:color w:val="0000FF"/>
                  <w:sz w:val="20"/>
                  <w:u w:val="single"/>
                </w:rPr>
                <w:t>PART 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6">
              <w:r>
                <w:rPr>
                  <w:rStyle w:val="InternetLink"/>
                  <w:rFonts w:ascii="Times New Roman;serif" w:hAnsi="Times New Roman;serif"/>
                  <w:b w:val="false"/>
                  <w:color w:val="0000FF"/>
                  <w:sz w:val="20"/>
                  <w:u w:val="singl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6">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9">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22">
              <w:r>
                <w:rPr>
                  <w:rStyle w:val="InternetLink"/>
                  <w:rFonts w:ascii="Times New Roman;serif" w:hAnsi="Times New Roman;serif"/>
                  <w:b w:val="false"/>
                  <w:color w:val="0000FF"/>
                  <w:sz w:val="20"/>
                  <w:u w:val="singl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60"/>
              <w:jc w:val="left"/>
              <w:rPr/>
            </w:pPr>
            <w:hyperlink w:anchor="i090ec634d13f409db2350ca2be121a42_28">
              <w:r>
                <w:rPr>
                  <w:rStyle w:val="InternetLink"/>
                  <w:rFonts w:ascii="Times New Roman;serif" w:hAnsi="Times New Roman;serif"/>
                  <w:b w:val="false"/>
                  <w:color w:val="0000FF"/>
                  <w:sz w:val="20"/>
                  <w:u w:val="single"/>
                </w:rPr>
                <w:t xml:space="preserve">Condensed Consolidated Statements of Stockholders’ Equity (Deficit)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28">
              <w:r>
                <w:rPr>
                  <w:rStyle w:val="InternetLink"/>
                  <w:rFonts w:ascii="Times New Roman;serif" w:hAnsi="Times New Roman;serif"/>
                  <w:b w:val="false"/>
                  <w:color w:val="0000FF"/>
                  <w:sz w:val="20"/>
                  <w:u w:val="singl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31">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34">
              <w:r>
                <w:rPr>
                  <w:rStyle w:val="InternetLink"/>
                  <w:rFonts w:ascii="Times New Roman;serif" w:hAnsi="Times New Roman;serif"/>
                  <w:b w:val="false"/>
                  <w:color w:val="0000FF"/>
                  <w:sz w:val="20"/>
                  <w:u w:val="singl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9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97">
              <w:r>
                <w:rPr>
                  <w:rStyle w:val="InternetLink"/>
                  <w:rFonts w:ascii="Times New Roman;serif" w:hAnsi="Times New Roman;serif"/>
                  <w:b w:val="false"/>
                  <w:color w:val="0000FF"/>
                  <w:sz w:val="20"/>
                  <w:u w:val="single"/>
                </w:rPr>
                <w:t>15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18">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18">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18">
              <w:r>
                <w:rPr>
                  <w:rStyle w:val="InternetLink"/>
                  <w:rFonts w:ascii="Times New Roman;serif" w:hAnsi="Times New Roman;serif"/>
                  <w:b w:val="false"/>
                  <w:color w:val="0000FF"/>
                  <w:sz w:val="20"/>
                  <w:u w:val="single"/>
                </w:rPr>
                <w:t>25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21">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21">
              <w:r>
                <w:rPr>
                  <w:rStyle w:val="InternetLink"/>
                  <w:rFonts w:ascii="Times New Roman;serif" w:hAnsi="Times New Roman;serif"/>
                  <w:b w:val="false"/>
                  <w:color w:val="0000FF"/>
                  <w:sz w:val="20"/>
                  <w:u w:val="single"/>
                </w:rPr>
                <w:t>25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24">
              <w:r>
                <w:rPr>
                  <w:rStyle w:val="InternetLink"/>
                  <w:rFonts w:ascii="Times New Roman;serif" w:hAnsi="Times New Roman;serif"/>
                  <w:b w:val="false"/>
                  <w:color w:val="0000FF"/>
                  <w:sz w:val="20"/>
                  <w:u w:val="single"/>
                </w:rPr>
                <w:t>PART 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27">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27">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0">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30">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3">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33">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9">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39">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39">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2">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2">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42">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5">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5">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45">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8">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48">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48">
              <w:r>
                <w:rPr>
                  <w:rStyle w:val="InternetLink"/>
                  <w:rFonts w:ascii="Times New Roman;serif" w:hAnsi="Times New Roman;serif"/>
                  <w:b w:val="false"/>
                  <w:color w:val="0000FF"/>
                  <w:sz w:val="20"/>
                  <w:u w:val="single"/>
                </w:rPr>
                <w:t>28</w:t>
              </w:r>
            </w:hyperlink>
          </w:p>
        </w:tc>
      </w:tr>
      <w:tr>
        <w:trPr/>
        <w:tc>
          <w:tcPr>
            <w:tcW w:w="15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0ec634d13f409db2350ca2be121a42_151">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0ec634d13f409db2350ca2be121a42_151">
              <w:r>
                <w:rPr>
                  <w:rStyle w:val="InternetLink"/>
                  <w:rFonts w:ascii="Times New Roman;serif" w:hAnsi="Times New Roman;serif"/>
                  <w:b w:val="false"/>
                  <w:color w:val="0000FF"/>
                  <w:sz w:val="20"/>
                  <w:u w:val="single"/>
                </w:rPr>
                <w:t>29</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02"/>
        <w:gridCol w:w="2313"/>
        <w:gridCol w:w="2288"/>
        <w:gridCol w:w="109"/>
        <w:gridCol w:w="109"/>
        <w:gridCol w:w="109"/>
        <w:gridCol w:w="196"/>
        <w:gridCol w:w="736"/>
        <w:gridCol w:w="109"/>
        <w:gridCol w:w="109"/>
        <w:gridCol w:w="109"/>
        <w:gridCol w:w="109"/>
        <w:gridCol w:w="199"/>
        <w:gridCol w:w="749"/>
        <w:gridCol w:w="159"/>
      </w:tblGrid>
      <w:tr>
        <w:trPr/>
        <w:tc>
          <w:tcPr>
            <w:tcW w:w="280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242,778 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1,000,000 shares authorized and undesignated as of March 31, 2026 and December 30, 2025;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Common stock—$0.01 par value, 180,000,000 shares authorized as of March 31, 2026 and December 30, 2025; 6,195,034 issued and 5,892,050 outstanding as of March 31, 2026 and 6,155,333 issued and 5,852,349 outstanding as of December 30, 2025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Treasury stock, at cost, 302,984 shares as of March 31, 2026 and December 30, 2025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261,671 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Shares have been retroactively adjusted to reflect the decreased number of shares resulting from a 1-for-8 reverse stock split effectuated on February 18, 2026.</w:t>
      </w:r>
    </w:p>
    <w:p>
      <w:pPr>
        <w:pStyle w:val="TextBody"/>
        <w:bidi w:val="0"/>
        <w:spacing w:lineRule="auto" w:line="288" w:before="120" w:after="283"/>
        <w:ind w:left="0" w:right="0" w:firstLine="360"/>
        <w:jc w:val="center"/>
        <w:rPr/>
      </w:pPr>
      <w:r>
        <w:rPr>
          <w:color w:val="000000"/>
        </w:rPr>
        <w:t>   </w:t>
      </w: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2487"/>
        <w:gridCol w:w="2139"/>
        <w:gridCol w:w="2151"/>
        <w:gridCol w:w="109"/>
        <w:gridCol w:w="109"/>
        <w:gridCol w:w="109"/>
        <w:gridCol w:w="211"/>
        <w:gridCol w:w="826"/>
        <w:gridCol w:w="109"/>
        <w:gridCol w:w="109"/>
        <w:gridCol w:w="109"/>
        <w:gridCol w:w="109"/>
        <w:gridCol w:w="211"/>
        <w:gridCol w:w="826"/>
        <w:gridCol w:w="109"/>
        <w:gridCol w:w="109"/>
        <w:gridCol w:w="109"/>
        <w:gridCol w:w="109"/>
        <w:gridCol w:w="155"/>
      </w:tblGrid>
      <w:tr>
        <w:trPr/>
        <w:tc>
          <w:tcPr>
            <w:tcW w:w="248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Class A and Class B common stock,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and Class B common stock outstanding,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Shares and per share amounts have been retroactively adjusted to reflect the decreased number of shares resulting from a 1-for-8 reverse stock split effectuated on February 18, 2026.</w:t>
      </w:r>
    </w:p>
    <w:p>
      <w:pPr>
        <w:pStyle w:val="TextBody"/>
        <w:bidi w:val="0"/>
        <w:spacing w:lineRule="auto" w:line="288" w:before="120" w:after="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Noodles &amp; Company</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 (Deficit)</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(in thousands, except share data, unaudited)</w:t>
      </w:r>
    </w:p>
    <w:tbl>
      <w:tblPr>
        <w:tblW w:w="10205" w:type="dxa"/>
        <w:jc w:val="center"/>
        <w:tblInd w:w="0" w:type="dxa"/>
        <w:tblLayout w:type="fixed"/>
        <w:tblCellMar>
          <w:top w:w="28" w:type="dxa"/>
          <w:left w:w="28" w:type="dxa"/>
          <w:bottom w:w="28" w:type="dxa"/>
          <w:right w:w="28" w:type="dxa"/>
        </w:tblCellMar>
      </w:tblPr>
      <w:tblGrid>
        <w:gridCol w:w="554"/>
        <w:gridCol w:w="263"/>
        <w:gridCol w:w="264"/>
        <w:gridCol w:w="109"/>
        <w:gridCol w:w="109"/>
        <w:gridCol w:w="109"/>
        <w:gridCol w:w="435"/>
        <w:gridCol w:w="436"/>
        <w:gridCol w:w="196"/>
        <w:gridCol w:w="109"/>
        <w:gridCol w:w="109"/>
        <w:gridCol w:w="109"/>
        <w:gridCol w:w="212"/>
        <w:gridCol w:w="359"/>
        <w:gridCol w:w="120"/>
        <w:gridCol w:w="109"/>
        <w:gridCol w:w="109"/>
        <w:gridCol w:w="109"/>
        <w:gridCol w:w="368"/>
        <w:gridCol w:w="368"/>
        <w:gridCol w:w="196"/>
        <w:gridCol w:w="109"/>
        <w:gridCol w:w="109"/>
        <w:gridCol w:w="109"/>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209"/>
        <w:gridCol w:w="706"/>
        <w:gridCol w:w="167"/>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 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6,155,333 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6,195,034 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6,020,235 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6,045,939 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730" w:type="dxa"/>
            <w:gridSpan w:val="3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92"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3" w:type="dxa"/>
            <w:gridSpan w:val="15"/>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(1)Unless otherwise noted, activity relates to Class A common stock.</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(2)Shares have been retroactively adjusted to reflect the decreased number of shares resulting from a 1-for-8 reverse stock split effectuated on February 18, 2026.</w: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456" w:type="dxa"/>
        <w:jc w:val="center"/>
        <w:tblInd w:w="0" w:type="dxa"/>
        <w:tblLayout w:type="fixed"/>
        <w:tblCellMar>
          <w:top w:w="28" w:type="dxa"/>
          <w:left w:w="28" w:type="dxa"/>
          <w:bottom w:w="28" w:type="dxa"/>
          <w:right w:w="28" w:type="dxa"/>
        </w:tblCellMar>
      </w:tblPr>
      <w:tblGrid>
        <w:gridCol w:w="2440"/>
        <w:gridCol w:w="2140"/>
        <w:gridCol w:w="2155"/>
        <w:gridCol w:w="109"/>
        <w:gridCol w:w="109"/>
        <w:gridCol w:w="109"/>
        <w:gridCol w:w="211"/>
        <w:gridCol w:w="691"/>
        <w:gridCol w:w="109"/>
        <w:gridCol w:w="109"/>
        <w:gridCol w:w="109"/>
        <w:gridCol w:w="109"/>
        <w:gridCol w:w="211"/>
        <w:gridCol w:w="691"/>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payments from swing line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transactions and tax withholding on share-based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Summary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Noodles &amp; Company (the “Company”), a Delaware corporation, develops and operates fast-casual restaurants that serve globally-inspired noodle and pasta dishes, soups, salads and appetizers. As of March 31, 2026, the Company had 400 restaurants system-wide in 31 states, comprised of 320 company-owned restaurants and 80 franchise restaurants. The Company operates its business as one operating and reportable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accompanying unaudited condensed consolidated financial statements include the accounts of Noodles &amp; Company and its subsidiaries. All intercompany accounts and transactions have been eliminated in consolidation. The accompanying interim unaudited condensed consolidated financial statements have been prepared by the Company pursuant to the rules and regulations of the Securities and Exchange Commission (the “SEC”). Accordingly, they do not include all the information and footnotes required by accounting principles generally accepted in the United States of America (“GAAP”) for complete financial statements. In the opinion of the Company, all adjustments considered necessary for the fair presentation of the Company’s results of operations, financial position and cash flows for the periods presented have been included and are of a normal, recurring nature.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results of operations for any interim period are not necessarily indicative of results for the full year. Certain information and footnote disclosures normally included in the Company’s annual consolidated financial statements on Form 10-K have been condensed or omitted. The condensed consolidated balance sheet as of December 30, 2025 was derived from audited financial statements. These financial statements should be read in conjunction with the audited financial statements and the related notes included in the Company’s</w:t>
      </w:r>
      <w:r>
        <w:rPr>
          <w:color w:val="000000"/>
        </w:rPr>
        <w:t xml:space="preserve"> </w:t>
      </w:r>
      <w:r>
        <w:rPr>
          <w:rFonts w:ascii="Times New Roman;serif" w:hAnsi="Times New Roman;serif"/>
          <w:b w:val="false"/>
          <w:color w:val="000000"/>
          <w:sz w:val="20"/>
        </w:rPr>
        <w:t xml:space="preserve">Annual Report on Form 10-K for the fiscal year ended December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Tuesday closest to December 31. The Company’s fiscal quarters each contain 13 operating weeks, with the exception of the fourth quarter of a 53-week fiscal year, which contains 14 operating weeks. Fiscal year 2026, which ends on December 29, 2026, and fiscal year 2025, which ended on December 30, 2025, each contain 52 weeks. The Company’s fiscal quarter that ended March 31, 2026 is referred to as the first quarter of 2026, and the fiscal quarter ended April 1, 2025 is referred to as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2026, the Company's Board of Directors approved a reverse stock split of the Company's issued and outstanding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 The reverse stock split was effectuated on February 18, 2026 at a 1-for-8 ratio (the “Reverse Stock Split”). All issued and outstanding common stock and per share amounts contained in this 10-Q related to prior periods have been adjusted retroactively to reflect the change in capital structure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Financial Accounting Standards Board (“FASB”) issued Accounting Standards Update (“ASU”) No. 2023-09, “Income Taxes (Topic 740): Improvements to Income Tax Disclosures.” The ASU includes amendments requiring enhanced income tax disclosures, primarily related to standardization and disaggregation of rate reconciliation categories and income taxes paid by jurisdiction. The Company adopted ASU No. 2023-09 prospectively during the year ended December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 of the following (in thousands):</w:t>
      </w:r>
    </w:p>
    <w:tbl>
      <w:tblPr>
        <w:tblW w:w="5235"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616"/>
        <w:gridCol w:w="109"/>
        <w:gridCol w:w="109"/>
        <w:gridCol w:w="109"/>
        <w:gridCol w:w="109"/>
        <w:gridCol w:w="245"/>
        <w:gridCol w:w="716"/>
        <w:gridCol w:w="17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program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rebate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Franchise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of the following (in thousands):</w:t>
      </w:r>
    </w:p>
    <w:tbl>
      <w:tblPr>
        <w:tblW w:w="5564"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11"/>
        <w:gridCol w:w="616"/>
        <w:gridCol w:w="109"/>
        <w:gridCol w:w="109"/>
        <w:gridCol w:w="109"/>
        <w:gridCol w:w="109"/>
        <w:gridCol w:w="245"/>
        <w:gridCol w:w="716"/>
        <w:gridCol w:w="17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occupancy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681"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payroll and benefits consist of the following (in thousands):</w:t>
      </w:r>
    </w:p>
    <w:tbl>
      <w:tblPr>
        <w:tblW w:w="6030"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11"/>
        <w:gridCol w:w="721"/>
        <w:gridCol w:w="109"/>
        <w:gridCol w:w="109"/>
        <w:gridCol w:w="109"/>
        <w:gridCol w:w="109"/>
        <w:gridCol w:w="245"/>
        <w:gridCol w:w="716"/>
        <w:gridCol w:w="179"/>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658" w:type="dxa"/>
        <w:jc w:val="left"/>
        <w:tblInd w:w="0" w:type="dxa"/>
        <w:tblLayout w:type="fixed"/>
        <w:tblCellMar>
          <w:top w:w="28" w:type="dxa"/>
          <w:left w:w="28" w:type="dxa"/>
          <w:bottom w:w="28" w:type="dxa"/>
          <w:right w:w="28" w:type="dxa"/>
        </w:tblCellMar>
      </w:tblPr>
      <w:tblGrid>
        <w:gridCol w:w="1385"/>
        <w:gridCol w:w="1215"/>
        <w:gridCol w:w="1224"/>
        <w:gridCol w:w="109"/>
        <w:gridCol w:w="109"/>
        <w:gridCol w:w="109"/>
        <w:gridCol w:w="211"/>
        <w:gridCol w:w="721"/>
        <w:gridCol w:w="109"/>
        <w:gridCol w:w="109"/>
        <w:gridCol w:w="109"/>
        <w:gridCol w:w="109"/>
        <w:gridCol w:w="221"/>
        <w:gridCol w:w="757"/>
        <w:gridCol w:w="161"/>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Gift card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expense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Long-Term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n July 27, 2022, the Company </w:t>
      </w:r>
      <w:r>
        <w:rPr>
          <w:rFonts w:ascii="Times New Roman;serif" w:hAnsi="Times New Roman;serif"/>
          <w:b w:val="false"/>
          <w:color w:val="000000"/>
          <w:sz w:val="20"/>
        </w:rPr>
        <w:t xml:space="preserve">amended and restated its Credit Agreement by entering into </w:t>
      </w:r>
      <w:r>
        <w:rPr>
          <w:rFonts w:ascii="Times New Roman;serif" w:hAnsi="Times New Roman;serif"/>
          <w:b w:val="false"/>
          <w:color w:val="000000"/>
          <w:sz w:val="20"/>
          <w:shd w:fill="FFFFFF" w:val="clear"/>
        </w:rPr>
        <w:t>the Amended and Restated Credit Agreement (as further amended, restated, extended, supplemented, modified and otherwise in effect from time to time, the “A&amp;R Credit Agreement”), with each other Loan Party (as defined in the A&amp;R Credit Agreement) part</w:t>
      </w:r>
      <w:r>
        <w:rPr>
          <w:rFonts w:ascii="Times New Roman;serif" w:hAnsi="Times New Roman;serif"/>
          <w:b w:val="false"/>
          <w:color w:val="000000"/>
          <w:sz w:val="20"/>
        </w:rPr>
        <w:t xml:space="preserve">y thereto, each lender from time to time party thereto, and U.S. Bank National Association, as Administrative Agent, L/C Issuer and Swing Line Lender (each as defined in the A&amp;R Credit Agreement). The A&amp;R Credit Agreement matures on July 27, 2027. </w:t>
      </w:r>
      <w:r>
        <w:rPr>
          <w:rFonts w:ascii="Times New Roman;serif" w:hAnsi="Times New Roman;serif"/>
          <w:b w:val="false"/>
          <w:color w:val="000000"/>
          <w:sz w:val="20"/>
          <w:shd w:fill="FFFFFF" w:val="clear"/>
        </w:rPr>
        <w:t>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w:t>
      </w:r>
      <w:r>
        <w:rPr>
          <w:color w:val="000000"/>
        </w:rPr>
        <w:t xml:space="preserve"> </w:t>
      </w:r>
      <w:r>
        <w:rPr>
          <w:rFonts w:ascii="Times New Roman;serif" w:hAnsi="Times New Roman;serif"/>
          <w:b w:val="false"/>
          <w:color w:val="000000"/>
          <w:sz w:val="20"/>
        </w:rPr>
        <w:t xml:space="preserve">and transitioned from the London Interbank Offered Rate (“LIBOR”) to the Secured Overnight Financing Rate (“SOFR”) plus a margin of 1.50% to 2.50% per annum, based upon the consolidated total lease-adjusted leverage ratio. The A&amp;R Credit Agreement is secured by a pledge of stock of substantially all of the Company’s subsidiaries and a lien on substantially all of the personal property assets of the Company and its subsidiaries. </w:t>
      </w:r>
      <w:r>
        <w:rPr>
          <w:rFonts w:ascii="Times New Roman;serif" w:hAnsi="Times New Roman;serif"/>
          <w:b w:val="false"/>
          <w:color w:val="000000"/>
          <w:sz w:val="20"/>
          <w:shd w:fill="FFFFFF" w:val="clear"/>
        </w:rPr>
        <w:t>The A&amp;R Credit Agreement was subsequently amended on December 21,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29, 2024, the Company further amended its A&amp;R Credit Agreement, by entering into that certain Second Amendment to the Amended and Restated Credit Agreement (the “Second Amendment”). Among the modifications, the Second Amendment: (i) increased the maximum applicable rate ranges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(1) 5.25 to 1.00 for the fiscal quarter ending December 30, 2025, (2) 5.00 to 1.00 for the fiscal quarters ending March 31, 2026 and June 30, 2026, (3) 4.75 to 1.00 for the fiscal quarters ending September 29, 2026 and December 29, 2026 and (4) 4.50 to 1.00 for the fiscal quarter ended March 30, 2027 and thereafter and (v) amended the Consolidated Fixed Charge Coverage Ratio (as defined in the A&amp;R Credit Agreement) in Section 7.11(b) of the A&amp;R Credit Agreement to be no less than (x) 1.05 to 1.00 for the fiscal quarter ending on October 1, 2024 until and including the last day of the fiscal quarter ending September 30, 2025 and (y) stepping up to (1) 1.15 to 1.00 for the fiscal quarters ending December 30, 2025 and March 31, 2026 and (2) 1.25 to 1.00 for the fiscal quarter ending June 30, 2026 and thereafter.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March 31, 2026, the Company had $106.8 million of indebtedness (excluding $1.2 million of unamortized debt issuance costs) </w:t>
      </w:r>
      <w:r>
        <w:rPr>
          <w:rFonts w:ascii="Times New Roman;serif" w:hAnsi="Times New Roman;serif"/>
          <w:b w:val="false"/>
          <w:color w:val="000000"/>
          <w:sz w:val="20"/>
          <w:shd w:fill="FFFFFF" w:val="clear"/>
        </w:rPr>
        <w:t xml:space="preserve">and $3.0 million of letters of </w:t>
      </w:r>
      <w:r>
        <w:rPr>
          <w:rFonts w:ascii="Times New Roman;serif" w:hAnsi="Times New Roman;serif"/>
          <w:b w:val="false"/>
          <w:color w:val="000000"/>
          <w:sz w:val="20"/>
        </w:rPr>
        <w:t xml:space="preserve">credit outstanding under the A&amp;R Credit Agreement. As of March 31, 2026, the Company had cash on hand of $1.4 million.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Company’s revolver, which had a balance of $106.8 million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bore interest at rates between 7.52% and </w:t>
      </w:r>
      <w:r>
        <w:rPr>
          <w:rFonts w:ascii="Times New Roman;serif" w:hAnsi="Times New Roman;serif"/>
          <w:b w:val="false"/>
          <w:color w:val="000000"/>
          <w:sz w:val="20"/>
        </w:rPr>
        <w:t>7.58%</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first quarter</w:t>
      </w:r>
      <w:r>
        <w:rPr>
          <w:color w:val="000000"/>
          <w:shd w:fill="FFFFFF" w:val="clear"/>
        </w:rPr>
        <w:t xml:space="preserve"> </w:t>
      </w:r>
      <w:r>
        <w:rPr>
          <w:rFonts w:ascii="Times New Roman;serif" w:hAnsi="Times New Roman;serif"/>
          <w:b w:val="false"/>
          <w:color w:val="000000"/>
          <w:sz w:val="20"/>
          <w:shd w:fill="FFFFFF" w:val="clear"/>
        </w:rPr>
        <w:t>of 2026. The Company’s swingline, which did</w:t>
      </w:r>
      <w:r>
        <w:rPr>
          <w:color w:val="000000"/>
        </w:rPr>
        <w:t xml:space="preserve"> </w:t>
      </w:r>
      <w:r>
        <w:rPr>
          <w:rFonts w:ascii="Times New Roman;serif" w:hAnsi="Times New Roman;serif"/>
          <w:b w:val="false"/>
          <w:color w:val="000000"/>
          <w:sz w:val="20"/>
        </w:rPr>
        <w:t xml:space="preserve">not </w:t>
      </w:r>
      <w:r>
        <w:rPr>
          <w:rFonts w:ascii="Times New Roman;serif" w:hAnsi="Times New Roman;serif"/>
          <w:b w:val="false"/>
          <w:color w:val="000000"/>
          <w:sz w:val="20"/>
          <w:shd w:fill="FFFFFF" w:val="clear"/>
        </w:rPr>
        <w:t xml:space="preserve">have a balance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bore interest at 9.50% in the </w:t>
      </w:r>
      <w:r>
        <w:rPr>
          <w:rFonts w:ascii="Times New Roman;serif" w:hAnsi="Times New Roman;serif"/>
          <w:b w:val="false"/>
          <w:color w:val="000000"/>
          <w:sz w:val="20"/>
        </w:rPr>
        <w:t>first quarter</w:t>
      </w:r>
      <w:r>
        <w:rPr>
          <w:color w:val="000000"/>
          <w:shd w:fill="FFFFFF" w:val="clear"/>
        </w:rPr>
        <w:t xml:space="preserve"> </w:t>
      </w:r>
      <w:r>
        <w:rPr>
          <w:rFonts w:ascii="Times New Roman;serif" w:hAnsi="Times New Roman;serif"/>
          <w:b w:val="false"/>
          <w:color w:val="000000"/>
          <w:sz w:val="20"/>
          <w:shd w:fill="FFFFFF" w:val="clear"/>
        </w:rPr>
        <w:t xml:space="preserve">of 2026.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The Company also maintains outstanding letters of credit to secure obligations under its workers’ compensation program and certain lease obligation</w:t>
      </w:r>
      <w:r>
        <w:rPr>
          <w:rFonts w:ascii="Times New Roman;serif" w:hAnsi="Times New Roman;serif"/>
          <w:b w:val="false"/>
          <w:color w:val="000000"/>
          <w:sz w:val="20"/>
          <w:shd w:fill="FFFFFF" w:val="clear"/>
        </w:rPr>
        <w:t xml:space="preserve">s. The Company was in compliance with all of its debt covenants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and all other current assets and liabilities approximate fair value due to their short-term nature. The carrying amounts of borrowings approximate fair value as the line of credit borrowings vary with market interest rates and negotiated terms and conditions are consistent with current market rates. The fair value of the Company’s revolving line of credit borrowings are measured using Level 2 inputs.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Assets and Liabilities Measured at Fair Value on a Nonrecurring Basis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recognized or disclosed at fair value in the condensed consolidated financial statements on a non-recurring basis include items such as leasehold improvements, property and equipment, operating lease assets, goodwill and other intangible assets. These assets are measured at fair value if determined to be impaired.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Adjustments to the fair value of assets measured at fair value on a non-recurring basis as of March 31, 2026 and April 1, 2025 are discussed in Note 7, Restaurant Impairments, Closure Costs and Asset Disposals.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provision for income taxes (in thousands):</w:t>
      </w:r>
    </w:p>
    <w:tbl>
      <w:tblPr>
        <w:tblW w:w="4785" w:type="dxa"/>
        <w:jc w:val="center"/>
        <w:tblInd w:w="0" w:type="dxa"/>
        <w:tblLayout w:type="fixed"/>
        <w:tblCellMar>
          <w:top w:w="28" w:type="dxa"/>
          <w:left w:w="28" w:type="dxa"/>
          <w:bottom w:w="28" w:type="dxa"/>
          <w:right w:w="28" w:type="dxa"/>
        </w:tblCellMar>
      </w:tblPr>
      <w:tblGrid>
        <w:gridCol w:w="825"/>
        <w:gridCol w:w="726"/>
        <w:gridCol w:w="729"/>
        <w:gridCol w:w="244"/>
        <w:gridCol w:w="296"/>
        <w:gridCol w:w="314"/>
        <w:gridCol w:w="109"/>
        <w:gridCol w:w="109"/>
        <w:gridCol w:w="109"/>
        <w:gridCol w:w="211"/>
        <w:gridCol w:w="361"/>
        <w:gridCol w:w="271"/>
        <w:gridCol w:w="109"/>
        <w:gridCol w:w="109"/>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effective tax rate for the first quarter of 2026 and 2025, reflects the impact of the previously recorded valuation allowance. For the remainder of fiscal 2026, the Company does not anticipate material income tax expense or benefit as a result of the valuation allowance recorded. The </w:t>
      </w:r>
      <w:r>
        <w:rPr>
          <w:rFonts w:ascii="Times New Roman;serif" w:hAnsi="Times New Roman;serif"/>
          <w:b w:val="false"/>
          <w:color w:val="000000"/>
          <w:sz w:val="20"/>
        </w:rPr>
        <w:t>Company will maintain the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Congress enacted H.R.1, commonly known as the One Big Beautiful Bill Act, which introduces a wide range of tax reform measures. These include extensions and modifications of key provisions from the Tax Cuts and Jobs Act, as well as changes to rules allowing accelerated tax deductions for qualified property and research expenditures. The legislation includes multiple effective dates, with certain provisions that took effect in 2025 and others phased in through 2027. The Company has evaluated the provisions of the legislation and does not expect the adoption or implementation of these measures to have a material impact on its financial statements, effective tax rate, or cash tax position. The Company will continue to monitor forthcoming administrative guidance and regulatory developments that may further clarify the application of the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May of 2023, the Company’s stockholders approved the 2023 Stock Incentive Plan (the “2023 Plan”). The 2023 Plan authorizes the grant of non-qualified stock options, incentive stock options, stock appreciation rights, restricted stock, restricted stock units (“RSUs”), performance share units and incentive bonuses to </w:t>
      </w:r>
      <w:r>
        <w:rPr>
          <w:rFonts w:ascii="Times New Roman;serif" w:hAnsi="Times New Roman;serif"/>
          <w:b w:val="false"/>
          <w:color w:val="000000"/>
          <w:sz w:val="20"/>
          <w:shd w:fill="FFFFFF" w:val="clear"/>
        </w:rPr>
        <w:t>employees, officers, non-employee directors and other service providers, as applicable. As of March 31, 2026, approximately 0.5 million share-based awards were available to be granted under the 2023 Plan. In July of 2024, the Company’s Board of Directors adopted the 2024 Inducement Plan (the “Inducement Plan”). The Inducement Plan provides for the potential grant of options, stock appreciation rights, restricted stock and restricted stock units, any of which may be performance-based, and for incentive bonuses, which may be paid in cash or stock or a combination thereof, for certain newly hired employees. As of March 31, 2026, 37,982 share-based awards were available to be granted under the Inducement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total stock-based compensation expense (in thousands): </w:t>
      </w:r>
    </w:p>
    <w:tbl>
      <w:tblPr>
        <w:tblW w:w="6408" w:type="dxa"/>
        <w:jc w:val="center"/>
        <w:tblInd w:w="0" w:type="dxa"/>
        <w:tblLayout w:type="fixed"/>
        <w:tblCellMar>
          <w:top w:w="28" w:type="dxa"/>
          <w:left w:w="28" w:type="dxa"/>
          <w:bottom w:w="28" w:type="dxa"/>
          <w:right w:w="28" w:type="dxa"/>
        </w:tblCellMar>
      </w:tblPr>
      <w:tblGrid>
        <w:gridCol w:w="1435"/>
        <w:gridCol w:w="1259"/>
        <w:gridCol w:w="1266"/>
        <w:gridCol w:w="229"/>
        <w:gridCol w:w="507"/>
        <w:gridCol w:w="118"/>
        <w:gridCol w:w="109"/>
        <w:gridCol w:w="109"/>
        <w:gridCol w:w="109"/>
        <w:gridCol w:w="211"/>
        <w:gridCol w:w="466"/>
        <w:gridCol w:w="109"/>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Restaurant Impairments, Closure Costs and Asset Disposals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restaurant impairments, closure costs and asset disposals (in thousands):</w:t>
      </w:r>
    </w:p>
    <w:tbl>
      <w:tblPr>
        <w:tblW w:w="5680" w:type="dxa"/>
        <w:jc w:val="center"/>
        <w:tblInd w:w="0" w:type="dxa"/>
        <w:tblLayout w:type="fixed"/>
        <w:tblCellMar>
          <w:top w:w="28" w:type="dxa"/>
          <w:left w:w="28" w:type="dxa"/>
          <w:bottom w:w="28" w:type="dxa"/>
          <w:right w:w="28" w:type="dxa"/>
        </w:tblCellMar>
      </w:tblPr>
      <w:tblGrid>
        <w:gridCol w:w="1087"/>
        <w:gridCol w:w="954"/>
        <w:gridCol w:w="959"/>
        <w:gridCol w:w="211"/>
        <w:gridCol w:w="616"/>
        <w:gridCol w:w="109"/>
        <w:gridCol w:w="109"/>
        <w:gridCol w:w="109"/>
        <w:gridCol w:w="109"/>
        <w:gridCol w:w="211"/>
        <w:gridCol w:w="616"/>
        <w:gridCol w:w="109"/>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Restaurant impairments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Closure costs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(1)Restaurant impairments and closure costs in all periods presented above include amounts related to restaurants previously impaired or closed.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Impairment is based on management’s current assessment of the expected future cash flows of a restaurant based on recent results and other specific market factors. Impairment expense is a Level 3 fair value measure and is determined by comparing the carrying value of restaurant assets to the estimated fair value of the rest</w:t>
      </w:r>
      <w:r>
        <w:rPr>
          <w:rFonts w:ascii="Times New Roman;serif" w:hAnsi="Times New Roman;serif"/>
          <w:b w:val="false"/>
          <w:color w:val="000000"/>
          <w:sz w:val="20"/>
          <w:shd w:fill="FFFFFF" w:val="clear"/>
        </w:rPr>
        <w:t xml:space="preserve">aurant assets at resale value, if any, and the </w:t>
      </w:r>
      <w:r>
        <w:rPr>
          <w:rFonts w:ascii="Times New Roman;serif" w:hAnsi="Times New Roman;serif"/>
          <w:b w:val="false"/>
          <w:color w:val="000000"/>
          <w:sz w:val="20"/>
        </w:rPr>
        <w:t xml:space="preserve">right-of-use asset based on a discounted cash flow analysis utilizing market lease rates.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has identified a group of restaurants that the Company will seek to close on or before their next lease renewal dates, and are unlikely to recover the net book value of their assets. In the first quarter of 2026, the Company recorded fixed asset impairment charges on three restaurants, and wrote down lease related assets on ten restaurants. </w:t>
      </w:r>
      <w:r>
        <w:rPr>
          <w:rFonts w:ascii="Times New Roman;serif" w:hAnsi="Times New Roman;serif"/>
          <w:b w:val="false"/>
          <w:color w:val="000000"/>
          <w:sz w:val="20"/>
        </w:rPr>
        <w:t>In the first quarter of 2025, no restaurants were identified as having impaired fixed assets. In the first quarter of 2025, the Company wrote down lease related assets for one restaurant. All periods include ongoing equipment costs for restaurants pr</w:t>
      </w:r>
      <w:r>
        <w:rPr>
          <w:rFonts w:ascii="Times New Roman;serif" w:hAnsi="Times New Roman;serif"/>
          <w:b w:val="false"/>
          <w:color w:val="000000"/>
          <w:sz w:val="20"/>
          <w:shd w:fill="FFFFFF" w:val="clear"/>
        </w:rPr>
        <w:t>eviously impaired.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closed 20 restaurants during the first quarter of 2026. The Company closed three restaurants in the first quarter of 2025. Both periods included ongoing expenses from restaurant closures during the period and in prior years. </w:t>
      </w:r>
      <w:r>
        <w:rPr>
          <w:rFonts w:ascii="Times New Roman;serif" w:hAnsi="Times New Roman;serif"/>
          <w:b w:val="false"/>
          <w:color w:val="000000"/>
          <w:sz w:val="20"/>
        </w:rPr>
        <w:t xml:space="preserve">Closure costs were offset by gains from lease asset remeasurements and the adjustments to liabilities as lease terminations occur resulting in net gains of $0.5 million and $0.7 million in the first quarters of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8.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(“EPS”) is calculated by dividing net income (loss) available to common stockholders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and restricted common stock. Diluted EPS considers the impact of potentially dilutive securities except in periods in which there is a loss because the inclusion of the potential common shares would have an anti-dilutive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computations of basic and diluted EPS (in thousands, except share and per share data). The number of shares and loss per share for the prior period have been restated to reflect the 1-for-8 Reverse Stock Split effectuated on February 18, 2026.</w:t>
      </w:r>
    </w:p>
    <w:tbl>
      <w:tblPr>
        <w:tblW w:w="7099" w:type="dxa"/>
        <w:jc w:val="left"/>
        <w:tblInd w:w="0" w:type="dxa"/>
        <w:tblLayout w:type="fixed"/>
        <w:tblCellMar>
          <w:top w:w="28" w:type="dxa"/>
          <w:left w:w="28" w:type="dxa"/>
          <w:bottom w:w="28" w:type="dxa"/>
          <w:right w:w="28" w:type="dxa"/>
        </w:tblCellMar>
      </w:tblPr>
      <w:tblGrid>
        <w:gridCol w:w="1375"/>
        <w:gridCol w:w="1208"/>
        <w:gridCol w:w="1211"/>
        <w:gridCol w:w="109"/>
        <w:gridCol w:w="109"/>
        <w:gridCol w:w="109"/>
        <w:gridCol w:w="244"/>
        <w:gridCol w:w="732"/>
        <w:gridCol w:w="109"/>
        <w:gridCol w:w="109"/>
        <w:gridCol w:w="109"/>
        <w:gridCol w:w="109"/>
        <w:gridCol w:w="244"/>
        <w:gridCol w:w="732"/>
        <w:gridCol w:w="109"/>
        <w:gridCol w:w="109"/>
        <w:gridCol w:w="109"/>
        <w:gridCol w:w="109"/>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 computes the effect of dilutive securities using the treasury stock method and average market prices during the period. Potential common shares are excluded from the computation of diluted loss per share when the effect would be anti-dilutive. Shares issuable on the vesting or exercise of share-based awards were excluded from the calculation of diluted loss per share because the effect of their inclusion would have been anti-dilu</w:t>
      </w:r>
      <w:r>
        <w:rPr>
          <w:rFonts w:ascii="Times New Roman;serif" w:hAnsi="Times New Roman;serif"/>
          <w:b w:val="false"/>
          <w:color w:val="000000"/>
          <w:sz w:val="20"/>
          <w:shd w:fill="FFFFFF" w:val="clear"/>
        </w:rPr>
        <w:t>tive totaled 348,382 and 474,151 for the first quarters of 2026 and 2025,</w:t>
      </w:r>
      <w:r>
        <w:rPr>
          <w:color w:val="000000"/>
        </w:rPr>
        <w:t xml:space="preserve"> </w:t>
      </w:r>
      <w:r>
        <w:rPr>
          <w:rFonts w:ascii="Times New Roman;serif" w:hAnsi="Times New Roman;serif"/>
          <w:b w:val="false"/>
          <w:color w:val="000000"/>
          <w:sz w:val="20"/>
          <w:shd w:fill="FFFFFF" w:val="clear"/>
        </w:rPr>
        <w:t>respectively</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9049" w:type="dxa"/>
        <w:jc w:val="center"/>
        <w:tblInd w:w="0" w:type="dxa"/>
        <w:tblLayout w:type="fixed"/>
        <w:tblCellMar>
          <w:top w:w="28" w:type="dxa"/>
          <w:left w:w="28" w:type="dxa"/>
          <w:bottom w:w="28" w:type="dxa"/>
          <w:right w:w="28" w:type="dxa"/>
        </w:tblCellMar>
      </w:tblPr>
      <w:tblGrid>
        <w:gridCol w:w="814"/>
        <w:gridCol w:w="713"/>
        <w:gridCol w:w="722"/>
        <w:gridCol w:w="1260"/>
        <w:gridCol w:w="1260"/>
        <w:gridCol w:w="1289"/>
        <w:gridCol w:w="109"/>
        <w:gridCol w:w="109"/>
        <w:gridCol w:w="109"/>
        <w:gridCol w:w="211"/>
        <w:gridCol w:w="826"/>
        <w:gridCol w:w="109"/>
        <w:gridCol w:w="109"/>
        <w:gridCol w:w="109"/>
        <w:gridCol w:w="109"/>
        <w:gridCol w:w="211"/>
        <w:gridCol w:w="82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Sublease income recognized in the Condensed Consolidated Statements of Operations was $0.5 million and $0.7 million for the first quarters of 2026 and </w:t>
      </w:r>
      <w:r>
        <w:rPr>
          <w:rFonts w:ascii="Times New Roman;serif" w:hAnsi="Times New Roman;serif"/>
          <w:b w:val="false"/>
          <w:color w:val="000000"/>
          <w:sz w:val="20"/>
          <w:shd w:fill="FFFFFF" w:val="clear"/>
        </w:rPr>
        <w:t>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related to leases are as follows (in thousands):</w:t>
      </w:r>
    </w:p>
    <w:tbl>
      <w:tblPr>
        <w:tblW w:w="8272" w:type="dxa"/>
        <w:jc w:val="center"/>
        <w:tblInd w:w="0" w:type="dxa"/>
        <w:tblLayout w:type="fixed"/>
        <w:tblCellMar>
          <w:top w:w="28" w:type="dxa"/>
          <w:left w:w="28" w:type="dxa"/>
          <w:bottom w:w="28" w:type="dxa"/>
          <w:right w:w="28" w:type="dxa"/>
        </w:tblCellMar>
      </w:tblPr>
      <w:tblGrid>
        <w:gridCol w:w="1829"/>
        <w:gridCol w:w="1610"/>
        <w:gridCol w:w="1616"/>
        <w:gridCol w:w="109"/>
        <w:gridCol w:w="109"/>
        <w:gridCol w:w="109"/>
        <w:gridCol w:w="211"/>
        <w:gridCol w:w="721"/>
        <w:gridCol w:w="109"/>
        <w:gridCol w:w="109"/>
        <w:gridCol w:w="109"/>
        <w:gridCol w:w="109"/>
        <w:gridCol w:w="211"/>
        <w:gridCol w:w="721"/>
        <w:gridCol w:w="109"/>
        <w:gridCol w:w="109"/>
        <w:gridCol w:w="109"/>
        <w:gridCol w:w="109"/>
        <w:gridCol w:w="154"/>
      </w:tblGrid>
      <w:tr>
        <w:trPr/>
        <w:tc>
          <w:tcPr>
            <w:tcW w:w="182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Supplemental Disclosures to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disclosures to the Condensed Consolidated Statements of Cash Flows for the first quarter ended March 31, 2026 and April 1, 2025 (in thousands):</w:t>
      </w:r>
    </w:p>
    <w:tbl>
      <w:tblPr>
        <w:tblW w:w="8031" w:type="dxa"/>
        <w:jc w:val="left"/>
        <w:tblInd w:w="0" w:type="dxa"/>
        <w:tblLayout w:type="fixed"/>
        <w:tblCellMar>
          <w:top w:w="28" w:type="dxa"/>
          <w:left w:w="28" w:type="dxa"/>
          <w:bottom w:w="28" w:type="dxa"/>
          <w:right w:w="28" w:type="dxa"/>
        </w:tblCellMar>
      </w:tblPr>
      <w:tblGrid>
        <w:gridCol w:w="1979"/>
        <w:gridCol w:w="1737"/>
        <w:gridCol w:w="1744"/>
        <w:gridCol w:w="109"/>
        <w:gridCol w:w="109"/>
        <w:gridCol w:w="109"/>
        <w:gridCol w:w="211"/>
        <w:gridCol w:w="616"/>
        <w:gridCol w:w="109"/>
        <w:gridCol w:w="109"/>
        <w:gridCol w:w="109"/>
        <w:gridCol w:w="109"/>
        <w:gridCol w:w="211"/>
        <w:gridCol w:w="61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consists of sales from restaurant operations, franchise royalties and fees, and sublease income. Revenue from the operation of company-owned restaurants is recognized when sales occur. Revenue from sales made through third-party delivery services are recognized upon the transfer of food to the guest, excluding the delivery fee. Revenue from sales made through the Company website or mobile app are generally recognized including delivery fees. The Company reports revenue net of sales tax collected from customers and remitted to governmental taxing authorities.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Gift Cards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w:t>
      </w:r>
      <w:r>
        <w:rPr>
          <w:rFonts w:ascii="Times New Roman;serif" w:hAnsi="Times New Roman;serif"/>
          <w:b w:val="false"/>
          <w:color w:val="000000"/>
          <w:sz w:val="20"/>
          <w:shd w:fill="FFFFFF" w:val="clear"/>
        </w:rPr>
        <w:t>ely 15% of gift ca</w:t>
      </w:r>
      <w:r>
        <w:rPr>
          <w:rFonts w:ascii="Times New Roman;serif" w:hAnsi="Times New Roman;serif"/>
          <w:b w:val="false"/>
          <w:color w:val="000000"/>
          <w:sz w:val="20"/>
        </w:rPr>
        <w:t>rds will not be redeemed and recognizes gift card breakage ratably over the estimated redemption period of the gift card, which is approximate</w:t>
      </w:r>
      <w:r>
        <w:rPr>
          <w:rFonts w:ascii="Times New Roman;serif" w:hAnsi="Times New Roman;serif"/>
          <w:b w:val="false"/>
          <w:color w:val="000000"/>
          <w:sz w:val="20"/>
          <w:shd w:fill="FFFFFF" w:val="clear"/>
        </w:rPr>
        <w:t>ly 24 months. G</w:t>
      </w:r>
      <w:r>
        <w:rPr>
          <w:rFonts w:ascii="Times New Roman;serif" w:hAnsi="Times New Roman;serif"/>
          <w:b w:val="false"/>
          <w:color w:val="000000"/>
          <w:sz w:val="20"/>
        </w:rPr>
        <w:t xml:space="preserve">ift card liability balances are typically highest at the end of each calendar year following increased gift card purchases during the holiday season.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March 31, 2026 and December 30, 2025, the current portion of the gift card liability amounting to $2.0 million and $2.2 million, respectively, was included in accrued expenses and other current liabilities, and the long-term portion a</w:t>
      </w:r>
      <w:r>
        <w:rPr>
          <w:rFonts w:ascii="Times New Roman;serif" w:hAnsi="Times New Roman;serif"/>
          <w:b w:val="false"/>
          <w:color w:val="000000"/>
          <w:sz w:val="20"/>
          <w:shd w:fill="FFFFFF" w:val="clear"/>
        </w:rPr>
        <w:t xml:space="preserve">mounting to $0.6 million </w:t>
      </w:r>
      <w:r>
        <w:rPr>
          <w:rFonts w:ascii="Times New Roman;serif" w:hAnsi="Times New Roman;serif"/>
          <w:b w:val="false"/>
          <w:color w:val="000000"/>
          <w:sz w:val="20"/>
        </w:rPr>
        <w:t>and $0.8 million, respectively</w:t>
      </w:r>
      <w:r>
        <w:rPr>
          <w:rFonts w:ascii="Times New Roman;serif" w:hAnsi="Times New Roman;serif"/>
          <w:b w:val="false"/>
          <w:color w:val="000000"/>
          <w:sz w:val="20"/>
          <w:shd w:fill="FFFFFF" w:val="clear"/>
        </w:rPr>
        <w:t>, was included in other long-term liabilities in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Revenue recognized in the Condensed Consolidated Statements of Operations for the redemption of gift cards was $0.8 million for both the first quarters of 2026 and 2025, respecti</w:t>
      </w:r>
      <w:r>
        <w:rPr>
          <w:rFonts w:ascii="Times New Roman;serif" w:hAnsi="Times New Roman;serif"/>
          <w:b w:val="false"/>
          <w:color w:val="000000"/>
          <w:sz w:val="20"/>
          <w:shd w:fill="FFFFFF" w:val="clear"/>
        </w:rPr>
        <w:t xml:space="preserve">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Franchise Fees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Royalties from franchise restaurants are based on a percentage of restaurant revenues and are recognized in the period the related franchised restaurants’ sales occur. </w:t>
      </w:r>
      <w:r>
        <w:rPr>
          <w:rFonts w:ascii="Times New Roman;serif" w:hAnsi="Times New Roman;serif"/>
          <w:b w:val="false"/>
          <w:color w:val="000000"/>
          <w:sz w:val="20"/>
          <w:shd w:fill="FFFFFF" w:val="clear"/>
        </w:rPr>
        <w:t>Dev</w:t>
      </w:r>
      <w:r>
        <w:rPr>
          <w:rFonts w:ascii="Times New Roman;serif" w:hAnsi="Times New Roman;serif"/>
          <w:b w:val="false"/>
          <w:color w:val="000000"/>
          <w:sz w:val="20"/>
        </w:rPr>
        <w:t xml:space="preserve">elopment and franchise fees, portions of which are collected in advance, are nonrefundable and are recognized in income ratably over the term of the related franchise agreement or recognized upon the termination of the agreement between the Company and the franchisee. The Company has determined that the initial franchise services are not distinct from the continuing rights or services offered during the term of the franchise agreement and should be treated as a single performance obligation; therefore, initial fees received from franchisees are recognized as revenue over the term of each respective franchise agreement, which is typically 20 years.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Loyalty Program</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based upon the Company’s historical redemption patterns. Points generally expire after six months. Revenue is recognized in a future period when the reward points are redeemed. As of March 31, 2026 and December 30, 2025, the deferred revenue related to the rewards was $0.9 million and $1.1 million, respectively, and is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March 31, 2026.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senior executive team that includes the President and Chief Executive Officer and the Chief Financial Officer. The Company has one reportable operating segment. The one reportable segment derives its revenue from company-owned restaurants and franchise owned restaurants. No guest accounts for 10% or more of the Company’s revenues. The Company’s CODM uses income (loss) from operations to evaluate performance and make key operating decisions, such as deciding the rate at which we invest resources into the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presents selected financial information with respect to our single reportable segment regularly reviewed by our CODM </w:t>
      </w:r>
      <w:r>
        <w:rPr>
          <w:rFonts w:ascii="Times New Roman;serif" w:hAnsi="Times New Roman;serif"/>
          <w:b w:val="false"/>
          <w:color w:val="000000"/>
          <w:sz w:val="20"/>
          <w:shd w:fill="FFFFFF" w:val="clear"/>
        </w:rPr>
        <w:t>(in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tbl>
      <w:tblPr>
        <w:tblW w:w="8167" w:type="dxa"/>
        <w:jc w:val="left"/>
        <w:tblInd w:w="0" w:type="dxa"/>
        <w:tblLayout w:type="fixed"/>
        <w:tblCellMar>
          <w:top w:w="28" w:type="dxa"/>
          <w:left w:w="28" w:type="dxa"/>
          <w:bottom w:w="28" w:type="dxa"/>
          <w:right w:w="28" w:type="dxa"/>
        </w:tblCellMar>
      </w:tblPr>
      <w:tblGrid>
        <w:gridCol w:w="1716"/>
        <w:gridCol w:w="1508"/>
        <w:gridCol w:w="1516"/>
        <w:gridCol w:w="109"/>
        <w:gridCol w:w="109"/>
        <w:gridCol w:w="109"/>
        <w:gridCol w:w="211"/>
        <w:gridCol w:w="826"/>
        <w:gridCol w:w="109"/>
        <w:gridCol w:w="109"/>
        <w:gridCol w:w="109"/>
        <w:gridCol w:w="109"/>
        <w:gridCol w:w="211"/>
        <w:gridCol w:w="826"/>
        <w:gridCol w:w="109"/>
        <w:gridCol w:w="109"/>
        <w:gridCol w:w="109"/>
        <w:gridCol w:w="109"/>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485" w:type="dxa"/>
        <w:jc w:val="left"/>
        <w:tblInd w:w="0" w:type="dxa"/>
        <w:tblLayout w:type="fixed"/>
        <w:tblCellMar>
          <w:top w:w="28" w:type="dxa"/>
          <w:left w:w="28" w:type="dxa"/>
          <w:bottom w:w="28" w:type="dxa"/>
          <w:right w:w="28" w:type="dxa"/>
        </w:tblCellMar>
      </w:tblPr>
      <w:tblGrid>
        <w:gridCol w:w="1266"/>
        <w:gridCol w:w="1112"/>
        <w:gridCol w:w="1116"/>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30,</w:t>
              <w:b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disclosures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long-lived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24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(1)Long-lived assets include the Company’s property and equipment and operating lease assets presented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Noodles &amp; Company is a Delaware corporation that was organized in 2002. Noodles &amp; Company and its subsidiaries are sometimes referred to as “we,” “us,” “our” and the “Company” in this report. 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our fiscal year ended December 30, 2025. We operate on a 52- or 53-week fiscal year ending on the Tuesday closest to December 31. Our fiscal quarters each contain 13 operating weeks, with the exception of the fourth quarter of a 53-week fiscal year, which contains 14 operating weeks. Fiscal years 2026 and 2025 contain 52 weeks.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 addition to historical information, this discussion and analysis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expectations with respect to projected capital expenditures and our financial results, condition and liquidity needs</w:t>
      </w:r>
      <w:r>
        <w:rPr>
          <w:rFonts w:ascii="Times New Roman;serif" w:hAnsi="Times New Roman;serif"/>
          <w:b w:val="false"/>
          <w:i/>
          <w:color w:val="000000"/>
          <w:sz w:val="20"/>
          <w:shd w:fill="FFFFFF" w:val="clear"/>
        </w:rPr>
        <w:t>. Our actual results may differ materially from those anticipated in these forward-looking statements due to reasons including, but not limited to, uncertainties as to the availability, suitability, structure, terms, and timing of any strategic transaction resulting from the strategic review and whether any such transaction will be completed, the impact of any such strategic transaction on Noodles &amp; Company, and whether the strategic benefits of any such strategic transaction can be achieved; current performance trends and our expectations for future performance and ability to obtain financing on acceptable terms, if at all, and comply with our covenants under the A&amp;R Credit Agreement, our ability to sustain our overall growth, including, our digital sales growth; our ability to effectively optimize our restaurant portfolio including closures; our ability to achieve and maintain increases in comparable restaurant sales and to successfully execute our business strategy, inc</w:t>
      </w:r>
      <w:r>
        <w:rPr>
          <w:rFonts w:ascii="Times New Roman;serif" w:hAnsi="Times New Roman;serif"/>
          <w:b w:val="false"/>
          <w:i/>
          <w:color w:val="000000"/>
          <w:sz w:val="20"/>
        </w:rPr>
        <w:t>luding operational strategies to improve the performance of our restaurant portfolio; the success of our brand strategy and marketing efforts, including our ability to successfully introduce new menu items, including limited time offerings and the success of our promotions; our pricing strategies; economic conditions, including inflation, an economic recess</w:t>
      </w:r>
      <w:r>
        <w:rPr>
          <w:rFonts w:ascii="Times New Roman;serif" w:hAnsi="Times New Roman;serif"/>
          <w:b w:val="false"/>
          <w:i/>
          <w:color w:val="000000"/>
          <w:sz w:val="20"/>
          <w:shd w:fill="FFFFFF" w:val="clear"/>
        </w:rPr>
        <w:t>ion, an elevated interest rate environment, tariffs and trade restrictions and any impact of government shutdowns on overall economic conditions and consumer spending; price</w:t>
      </w:r>
      <w:r>
        <w:rPr>
          <w:color w:val="000000"/>
        </w:rPr>
        <w:t xml:space="preserve"> </w:t>
      </w:r>
      <w:r>
        <w:rPr>
          <w:rFonts w:ascii="Times New Roman;serif" w:hAnsi="Times New Roman;serif"/>
          <w:b w:val="false"/>
          <w:i/>
          <w:color w:val="000000"/>
          <w:sz w:val="20"/>
        </w:rPr>
        <w:t>and availability of commodities and other supply chain challenges; our ability to adequately staff our restaurants; changes in labor costs; our ability to maintain compliance with requirements for continued listing on the Nasdaq Global Select Market; other conditions beyond our control such as domestic or global conflicts, wars, terrorist activity, weather, natural disasters, disease outbreaks, epidemics or pandemics impacting our customers or food supplies; and consumer reaction to industry related public health issues and health pandemics, including perceptions of food safety and those discussed in “Special Note Regarding Forward-Looking Statements” and “Risk Factors” as filed in our Annual Report on Form 10-K for our fiscal year ended December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Trends, Risks and Uncertainties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Reverse Stock Split.</w:t>
      </w:r>
      <w:r>
        <w:rPr>
          <w:color w:val="000000"/>
          <w:shd w:fill="FFFFFF" w:val="clear"/>
        </w:rPr>
        <w:t xml:space="preserve"> </w:t>
      </w:r>
      <w:r>
        <w:rPr>
          <w:rFonts w:ascii="Times New Roman;serif" w:hAnsi="Times New Roman;serif"/>
          <w:b w:val="false"/>
          <w:color w:val="000000"/>
          <w:sz w:val="20"/>
          <w:shd w:fill="FFFFFF" w:val="clear"/>
        </w:rPr>
        <w:t>On February 18, 2026, the amendment to our Amended and Restated Certificate of Incorporation (the “Certificate of Incorporation”) took effect to implement the Reverse Stock Split of our issued and outstanding shares of Class A common stock, par value $0.01 per share, at a ratio of 1-for-8.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fractional shares were issued as a result of the Reverse Stock Split and it did not impact the par value of our common stock. Neither the Reverse Stock Split nor the related amendment to the Certificate of Incorporation had any impact on the number of shares of common stock or preferred stock we are authorized to issue under the Certificate of Incorporation or the number of issued and outstanding shares of our preferred stock (of which there are currently 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shares of common stock, stock-based compensation awards and per share amounts for the prior periods included in the Consolidated Financial Statements and applicable notes of this 10-Q and elsewhere in this 10-Q have been adjusted retroactively to reflect the effect of the Reverse Stock Split and related amendment to the Certificate of Incorporation.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shd w:fill="FFFFFF" w:val="clear"/>
        </w:rPr>
        <w:t xml:space="preserve">Strategic Review. </w:t>
      </w:r>
      <w:r>
        <w:rPr>
          <w:rFonts w:ascii="Times New Roman;serif" w:hAnsi="Times New Roman;serif"/>
          <w:b w:val="false"/>
          <w:color w:val="000000"/>
          <w:sz w:val="20"/>
          <w:shd w:fill="FFFFFF" w:val="clear"/>
        </w:rPr>
        <w:t>On September 3, 2025, we announced that our Board of Directors had initiated a review of strategic alternatives in order to explore ways to maximize stockholder value. The review includes a range of potential strategic alternatives, including a refinancing of existing indebtedness, refranchising or sale of all or part of the business, and/or other strategic or financial transactions. Such review remains in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Revenue.</w:t>
      </w:r>
      <w:r>
        <w:rPr>
          <w:color w:val="000000"/>
          <w:shd w:fill="FFFFFF" w:val="clear"/>
        </w:rPr>
        <w:t xml:space="preserve"> </w:t>
      </w:r>
      <w:r>
        <w:rPr>
          <w:rFonts w:ascii="Times New Roman;serif" w:hAnsi="Times New Roman;serif"/>
          <w:b w:val="false"/>
          <w:color w:val="000000"/>
          <w:sz w:val="20"/>
          <w:shd w:fill="FFFFFF" w:val="clear"/>
        </w:rPr>
        <w:t>In the first quarter, we saw an increase in revenue as a result of an increase in comparable restaurant sales, mostly offset by permanent restaurant closures. System-wide comparable restaurant sales increased 9.1% in the first quarter of 2026 compared to the same period of 2025, comprised of a 9.4% increase at company-owned restaurants and an 8.0% increase at franchise-owned restaurants. Our comparable restaurant sales have been positive since the introduction of our new menu aided by the introduction of Delicious Duos in late July, the introduction of recent successful limited time offerings, like Chili Garlic Ramen and Steak Stroganoff, and the benefit of sales transferring from restaurants that we closed to our nearby restaurants.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Cost of Sales.</w:t>
      </w:r>
      <w:r>
        <w:rPr>
          <w:color w:val="000000"/>
          <w:shd w:fill="FFFFFF" w:val="clear"/>
        </w:rPr>
        <w:t xml:space="preserve"> </w:t>
      </w:r>
      <w:r>
        <w:rPr>
          <w:rFonts w:ascii="Times New Roman;serif" w:hAnsi="Times New Roman;serif"/>
          <w:b w:val="false"/>
          <w:color w:val="000000"/>
          <w:sz w:val="20"/>
          <w:shd w:fill="FFFFFF" w:val="clear"/>
        </w:rPr>
        <w:t xml:space="preserve">Our first quarter 2026 cost of sales benefited from an increase in menu prices and reduced food waste related to new menu items, which offset the impact of inflation. We continue to monitor commodity inflation and, throughout periods of volatility, we will continue to work with our suppliers to identify ongoing supply chain efficiencies, including adding additional suppliers as necessary.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evaluated and will continue to evaluate the impact of import laws and tariffs, including the potential for any refunds, on our operations as some of our food items are imported from India, Mexico and other countries. As of March 31, 2026, there was no material impact on our business, financial condition, results of operations or cash flows. However, we expect tariffs may impact our operations in certain areas, such as food and beverage costs, construction and equipment costs and other restaurant operating costs, for the remainder of fiscal 2026. We will continue to utilize fixed price contracts for certain key items to mitigate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Labor Costs.</w:t>
      </w:r>
      <w:r>
        <w:rPr>
          <w:color w:val="000000"/>
          <w:shd w:fill="FFFFFF" w:val="clear"/>
        </w:rPr>
        <w:t xml:space="preserve"> </w:t>
      </w:r>
      <w:r>
        <w:rPr>
          <w:rFonts w:ascii="Times New Roman;serif" w:hAnsi="Times New Roman;serif"/>
          <w:b w:val="false"/>
          <w:color w:val="000000"/>
          <w:sz w:val="20"/>
          <w:shd w:fill="FFFFFF" w:val="clear"/>
        </w:rPr>
        <w:t>Similar to much of the restaurant industry, our base labor costs have risen in recent years. We have been able to partially mitigate the impact of these market factors through a continued focus on maximizing efficiencies of labor hour usage per restaurant and wage inflation has stabilized to less than 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Other Restaurant Operating Costs. </w:t>
      </w:r>
      <w:r>
        <w:rPr>
          <w:rFonts w:ascii="Times New Roman;serif" w:hAnsi="Times New Roman;serif"/>
          <w:b w:val="false"/>
          <w:color w:val="000000"/>
          <w:sz w:val="20"/>
          <w:shd w:fill="FFFFFF" w:val="clear"/>
        </w:rPr>
        <w:t>We have incurred, and expect to continue to incur, increased third-party delivery fees due to significant increased usage of third-party delivery services resulting in a higher mix of third party delivery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Restaurant Development.</w:t>
      </w:r>
      <w:r>
        <w:rPr>
          <w:color w:val="000000"/>
          <w:shd w:fill="FFFFFF" w:val="clear"/>
        </w:rPr>
        <w:t xml:space="preserve"> </w:t>
      </w:r>
      <w:r>
        <w:rPr>
          <w:rFonts w:ascii="Times New Roman;serif" w:hAnsi="Times New Roman;serif"/>
          <w:b w:val="false"/>
          <w:color w:val="000000"/>
          <w:sz w:val="20"/>
          <w:shd w:fill="FFFFFF" w:val="clear"/>
        </w:rPr>
        <w:t xml:space="preserve">We did not open any new company-owned restaurants in the first quarter of 2026 and do not plan to open any company-owned restaurants in 2026. As of March 31, 2026, we had 320 company-owned restaurants and 80 franchise restaurants in 31 states.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Impairments and Certain Restaurant Closures.</w:t>
      </w:r>
      <w:r>
        <w:rPr>
          <w:color w:val="000000"/>
          <w:shd w:fill="FFFFFF" w:val="clear"/>
        </w:rPr>
        <w:t xml:space="preserve"> </w:t>
      </w:r>
      <w:r>
        <w:rPr>
          <w:rFonts w:ascii="Times New Roman;serif" w:hAnsi="Times New Roman;serif"/>
          <w:b w:val="false"/>
          <w:color w:val="000000"/>
          <w:sz w:val="20"/>
          <w:shd w:fill="FFFFFF" w:val="clear"/>
        </w:rPr>
        <w:t>We impaired fixed assets related to three restaurants in the</w:t>
      </w:r>
      <w:r>
        <w:rPr>
          <w:color w:val="000000"/>
          <w:shd w:fill="FFFFFF" w:val="clear"/>
        </w:rPr>
        <w:t xml:space="preserve"> </w:t>
      </w:r>
      <w:r>
        <w:rPr>
          <w:rFonts w:ascii="Times New Roman;serif" w:hAnsi="Times New Roman;serif"/>
          <w:b w:val="false"/>
          <w:color w:val="000000"/>
          <w:sz w:val="20"/>
          <w:shd w:fill="FFFFFF" w:val="clear"/>
        </w:rPr>
        <w:t xml:space="preserve">first quarter of 2026 primarily related to closure decisions on underperforming restaurants. In the first quarter of 2026, we wrote down lease-related assets for ten restaurants. We permanently closed 20 company-owned restaurants in the first quarter of 2026 and we anticipate closing an additional 10 to 15 restaurants in 2026. We continue to analyze our restaurant portfolio and expect to close certain restaurants that are either generating low or negative cash flows, approaching the expiration of their leases, in trade areas that are not as well positioned for current consumer trends and or there is a potential for a significant amount of sales transfer to nearby restaurants given strong off premise sales.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Measures We Use to Evaluate Our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 evaluate the performance of our business, we utilize a variety of financial and performance measures. These key measures include revenue, comparable restaurant sales, average unit volumes (“AUVs”), </w:t>
      </w:r>
      <w:r>
        <w:rPr>
          <w:rFonts w:ascii="Times New Roman;serif" w:hAnsi="Times New Roman;serif"/>
          <w:b w:val="false"/>
          <w:color w:val="000000"/>
          <w:sz w:val="20"/>
          <w:shd w:fill="FFFFFF" w:val="clear"/>
        </w:rPr>
        <w:t>restaurant contribution, restaurant contribution margin, EBITDA and adjusted EBITDA. Restaurant contribution, restaurant contribution margin, EBITDA and adjusted EBITDA are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includes both restaurant revenue and franchise royalties and fees. Restaurant revenue represents sales of food and beverages in company-owned restaurants. Several factors affect our restaurant revenue in any period, including the number of restaurants in operation and per-restaurant sales. 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Seasonal factors cause our revenue to fluctuate from quarter to quarter. Our revenue per restaurant is typically lower in the first and fourth quarters, due to reduced winter and holiday traffic, and is typically higher in the second and third quarters. As a result of these fact</w:t>
      </w:r>
      <w:r>
        <w:rPr>
          <w:rFonts w:ascii="Times New Roman;serif" w:hAnsi="Times New Roman;serif"/>
          <w:b w:val="false"/>
          <w:color w:val="000000"/>
          <w:sz w:val="20"/>
          <w:shd w:fill="FFFFFF" w:val="clear"/>
        </w:rPr>
        <w:t xml:space="preserve">ors, </w:t>
      </w:r>
      <w:r>
        <w:rPr>
          <w:rFonts w:ascii="Times New Roman;serif" w:hAnsi="Times New Roman;serif"/>
          <w:b w:val="false"/>
          <w:color w:val="000000"/>
          <w:sz w:val="20"/>
        </w:rPr>
        <w:t xml:space="preserve">our quarterly operating results and comparable restaurant sales may fluctuate.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Comparable Restaurant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restaurant sales refer to year-over-year sales comparisons for the comparable restaurant base. We define the comparable restaurant base to include restaurants open for at least 18 full periods. This measure highlights the performance of existing restaurants, as the impact of new restaurant openings is excluded. Changes in comparable restaurant sales are generated by changes in traffic, which we calculate as the number of entrées sold, and changes in per-person spend, calculated as sales divided by traffic. Per-person spend can be influenced by changes in menu prices and the mix and number of items sold per person.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Measuring our comparable restaurant sales allows us to evaluate the performance of our existing restaurant base. Various factors impact comparable restaurant sales, including, but not limited to:</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introduction of new and seasonal menu items and limited time offerings;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consumer recognition of our brand and our ability to respond to changing consumer preferences;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overall economic trends, particularly those related to consumer spending;</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operate restaurants effectively and efficiently to meet consumer expectations;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pricing and perceived value;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number of restaurant transactions, per-person spend and average check amount;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marketing and promotional efforts;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abnormal weather patterns;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food safety and foodborne illness concerns;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impact of health pandemics;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local and national competition;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trade area dynamics;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tariffs or trade restrictions;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opening and closing restaurants in the vicinity of other restaurant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Consistent with common industry practice, we present comparable restaurant sales on a calendar-adjusted basis that aligns current year sales weeks with comparable periods in the prior year, regardless of whether they belong to the same fiscal period or not. Comparable restaurant sales is only one measure of how we evaluate our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Average Unit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AUVs consist of the average annualized sales of all company-owned restaurants for a given time period. AUVs are calculated by dividing restaurant revenue by the number of operating days within each time period and multiplying by the number of operating days we have in a typical year. This measurement allows management to assess changes in </w:t>
      </w:r>
      <w:r>
        <w:rPr>
          <w:rFonts w:ascii="Times New Roman;serif" w:hAnsi="Times New Roman;serif"/>
          <w:b w:val="false"/>
          <w:color w:val="000000"/>
          <w:sz w:val="20"/>
          <w:shd w:fill="FFFFFF" w:val="clear"/>
        </w:rPr>
        <w:t>consumer traffic and per person spending</w:t>
      </w:r>
      <w:r>
        <w:rPr>
          <w:color w:val="000000"/>
        </w:rPr>
        <w:t xml:space="preserve"> </w:t>
      </w:r>
      <w:r>
        <w:rPr>
          <w:rFonts w:ascii="Times New Roman;serif" w:hAnsi="Times New Roman;serif"/>
          <w:b w:val="false"/>
          <w:color w:val="000000"/>
          <w:sz w:val="20"/>
        </w:rPr>
        <w:t xml:space="preserve">patterns at our restaurants. In addition to the factors that impact comparable restaurant sales, AUVs can be further impacted by effective real estate site selection and maturity and trends within new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Contribution and Restaurant Contribution Margin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 contribution represents restaurant revenue less restaurant operating costs which are cost of sales, labor, occupancy and other restaurant operating costs. Restaurant contribution margin represents restaurant contribution as a percentage of restaurant revenue. We expect restaurant contribution to increase in proportion to the number of new restaurants we open, our comparable restaurant sales growth and cost reduction initiatives.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restaurant contribution and restaurant contribution margin are important tools for investors and other interested parties because they are widely-used metrics within the restaurant industry to evaluate restaurant-level productivity, efficiency and performance. We also use restaurant contribution and restaurant contribution margin as metrics to evaluate the profitability of incremental sales at our restaurants, restaurant performance across periods and restaurant financial performance compared with competitors. Restaurant contribution and restaurant contribution margin are supplemental measures of the operating performance of our restaurants and are not reflective of the underlying performance of our business because corporate-level expenses are excluded from these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define EBITDA as net income (loss) before net interest expense, provision (benefit) for income taxes and depreciation and amortization. We define </w:t>
      </w:r>
      <w:r>
        <w:rPr>
          <w:rFonts w:ascii="Times New Roman;serif" w:hAnsi="Times New Roman;serif"/>
          <w:b w:val="false"/>
          <w:color w:val="000000"/>
          <w:sz w:val="20"/>
          <w:shd w:fill="FFFFFF" w:val="clear"/>
        </w:rPr>
        <w:t xml:space="preserve">adjusted EBITDA as net income (loss) before net interest expense, provision (benefit) for income taxes, depreciation and amortization, restaurant impairments, loss on disposal of assets, net lease exit costs (benefits), severance, executive transition costs, corporate transaction costs and stock-based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EBITDA and adjusted EBITDA provide clear pictures of our operating results by eliminating certain non-recurring and non-cash expenses that may vary widely from period to period and are not reflective of the underlying business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presentati</w:t>
      </w:r>
      <w:r>
        <w:rPr>
          <w:rFonts w:ascii="Times New Roman;serif" w:hAnsi="Times New Roman;serif"/>
          <w:b w:val="false"/>
          <w:color w:val="000000"/>
          <w:sz w:val="20"/>
          <w:shd w:fill="FFFFFF" w:val="clear"/>
        </w:rPr>
        <w:t xml:space="preserve">on of restaurant contribution, restaurant contribution margin, </w:t>
      </w:r>
      <w:r>
        <w:rPr>
          <w:rFonts w:ascii="Times New Roman;serif" w:hAnsi="Times New Roman;serif"/>
          <w:b w:val="false"/>
          <w:color w:val="000000"/>
          <w:sz w:val="20"/>
        </w:rPr>
        <w:t>EBITDA and adjusted EBITDA, which may not be comparable to similarly titled financial measures used by other companies, is not intended to be considered in isolation or as a substitute for, or to be superior to, the financial information 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rPr>
        <w:t>The following table presents a reconciliation of net loss</w:t>
      </w:r>
      <w:r>
        <w:rPr>
          <w:color w:val="000000"/>
          <w:shd w:fill="FFFFFF" w:val="clear"/>
        </w:rPr>
        <w:t xml:space="preserve"> </w:t>
      </w:r>
      <w:r>
        <w:rPr>
          <w:rFonts w:ascii="Times New Roman;serif" w:hAnsi="Times New Roman;serif"/>
          <w:b w:val="false"/>
          <w:color w:val="000000"/>
          <w:sz w:val="20"/>
          <w:shd w:fill="FFFFFF" w:val="clear"/>
        </w:rPr>
        <w:t>to EBI</w:t>
      </w:r>
      <w:r>
        <w:rPr>
          <w:rFonts w:ascii="Times New Roman;serif" w:hAnsi="Times New Roman;serif"/>
          <w:b w:val="false"/>
          <w:color w:val="000000"/>
          <w:sz w:val="20"/>
        </w:rPr>
        <w:t>TDA and adjusted EBITDA:</w:t>
      </w:r>
    </w:p>
    <w:tbl>
      <w:tblPr>
        <w:tblW w:w="8811" w:type="dxa"/>
        <w:jc w:val="left"/>
        <w:tblInd w:w="0" w:type="dxa"/>
        <w:tblLayout w:type="fixed"/>
        <w:tblCellMar>
          <w:top w:w="28" w:type="dxa"/>
          <w:left w:w="28" w:type="dxa"/>
          <w:bottom w:w="28" w:type="dxa"/>
          <w:right w:w="28" w:type="dxa"/>
        </w:tblCellMar>
      </w:tblPr>
      <w:tblGrid>
        <w:gridCol w:w="2047"/>
        <w:gridCol w:w="1787"/>
        <w:gridCol w:w="1820"/>
        <w:gridCol w:w="109"/>
        <w:gridCol w:w="109"/>
        <w:gridCol w:w="109"/>
        <w:gridCol w:w="211"/>
        <w:gridCol w:w="691"/>
        <w:gridCol w:w="109"/>
        <w:gridCol w:w="109"/>
        <w:gridCol w:w="109"/>
        <w:gridCol w:w="109"/>
        <w:gridCol w:w="211"/>
        <w:gridCol w:w="691"/>
        <w:gridCol w:w="109"/>
        <w:gridCol w:w="109"/>
        <w:gridCol w:w="109"/>
        <w:gridCol w:w="109"/>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Restaurant impairments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exit benefits,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executive transition costs and corporate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(1)Restaurant impairments in all periods presented above include amounts related to restaurants previously impaired. See Note 7, Restaurant Impairme</w:t>
      </w:r>
      <w:r>
        <w:rPr>
          <w:rFonts w:ascii="Times New Roman;serif" w:hAnsi="Times New Roman;serif"/>
          <w:b w:val="false"/>
          <w:color w:val="000000"/>
          <w:sz w:val="16"/>
        </w:rPr>
        <w:t>nts, Closure Costs and Asset Disposals.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loss from operations to restaurant contribution:</w:t>
      </w:r>
    </w:p>
    <w:tbl>
      <w:tblPr>
        <w:tblW w:w="8325" w:type="dxa"/>
        <w:jc w:val="center"/>
        <w:tblInd w:w="0" w:type="dxa"/>
        <w:tblLayout w:type="fixed"/>
        <w:tblCellMar>
          <w:top w:w="28" w:type="dxa"/>
          <w:left w:w="28" w:type="dxa"/>
          <w:bottom w:w="28" w:type="dxa"/>
          <w:right w:w="28" w:type="dxa"/>
        </w:tblCellMar>
      </w:tblPr>
      <w:tblGrid>
        <w:gridCol w:w="1731"/>
        <w:gridCol w:w="1524"/>
        <w:gridCol w:w="1529"/>
        <w:gridCol w:w="109"/>
        <w:gridCol w:w="109"/>
        <w:gridCol w:w="109"/>
        <w:gridCol w:w="211"/>
        <w:gridCol w:w="721"/>
        <w:gridCol w:w="271"/>
        <w:gridCol w:w="109"/>
        <w:gridCol w:w="109"/>
        <w:gridCol w:w="109"/>
        <w:gridCol w:w="211"/>
        <w:gridCol w:w="721"/>
        <w:gridCol w:w="271"/>
        <w:gridCol w:w="10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impairments, closure costs and asset disposals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Restaurant Openings, Closures and Relocations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restaurants opened or closed during the periods indicated: </w:t>
      </w:r>
    </w:p>
    <w:tbl>
      <w:tblPr>
        <w:tblW w:w="6188" w:type="dxa"/>
        <w:jc w:val="left"/>
        <w:tblInd w:w="0" w:type="dxa"/>
        <w:tblLayout w:type="fixed"/>
        <w:tblCellMar>
          <w:top w:w="28" w:type="dxa"/>
          <w:left w:w="28" w:type="dxa"/>
          <w:bottom w:w="28" w:type="dxa"/>
          <w:right w:w="28" w:type="dxa"/>
        </w:tblCellMar>
      </w:tblPr>
      <w:tblGrid>
        <w:gridCol w:w="1189"/>
        <w:gridCol w:w="1047"/>
        <w:gridCol w:w="1049"/>
        <w:gridCol w:w="109"/>
        <w:gridCol w:w="109"/>
        <w:gridCol w:w="109"/>
        <w:gridCol w:w="284"/>
        <w:gridCol w:w="284"/>
        <w:gridCol w:w="286"/>
        <w:gridCol w:w="185"/>
        <w:gridCol w:w="185"/>
        <w:gridCol w:w="185"/>
        <w:gridCol w:w="233"/>
        <w:gridCol w:w="233"/>
        <w:gridCol w:w="220"/>
        <w:gridCol w:w="109"/>
        <w:gridCol w:w="109"/>
        <w:gridCol w:w="109"/>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Company-Owned Restaurant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Franchise Restaurant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restaurants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Statement of Operations as a Percentage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key components of our results of operations for the periods indicated as a percentage of our total revenue, except for the components of restaurant operating costs, which are expressed as a percentage of restaurant revenue. </w:t>
      </w:r>
    </w:p>
    <w:tbl>
      <w:tblPr>
        <w:tblW w:w="10205" w:type="dxa"/>
        <w:jc w:val="left"/>
        <w:tblInd w:w="0" w:type="dxa"/>
        <w:tblLayout w:type="fixed"/>
        <w:tblCellMar>
          <w:top w:w="28" w:type="dxa"/>
          <w:left w:w="28" w:type="dxa"/>
          <w:bottom w:w="28" w:type="dxa"/>
          <w:right w:w="28" w:type="dxa"/>
        </w:tblCellMar>
      </w:tblPr>
      <w:tblGrid>
        <w:gridCol w:w="2549"/>
        <w:gridCol w:w="2199"/>
        <w:gridCol w:w="2212"/>
        <w:gridCol w:w="109"/>
        <w:gridCol w:w="109"/>
        <w:gridCol w:w="109"/>
        <w:gridCol w:w="307"/>
        <w:gridCol w:w="309"/>
        <w:gridCol w:w="448"/>
        <w:gridCol w:w="134"/>
        <w:gridCol w:w="134"/>
        <w:gridCol w:w="134"/>
        <w:gridCol w:w="307"/>
        <w:gridCol w:w="309"/>
        <w:gridCol w:w="351"/>
        <w:gridCol w:w="109"/>
        <w:gridCol w:w="109"/>
        <w:gridCol w:w="109"/>
        <w:gridCol w:w="158"/>
      </w:tblGrid>
      <w:tr>
        <w:trPr/>
        <w:tc>
          <w:tcPr>
            <w:tcW w:w="254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operating costs (exclusive of depreciation and amortization shown separately below):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First Quarter Ended March 31, 2026 Compared to First Quarter Ended April 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unaudited operating results for the first quarters of 2026 and 2025, and the related quarter-over-quarter changes. </w:t>
      </w:r>
    </w:p>
    <w:tbl>
      <w:tblPr>
        <w:tblW w:w="10205" w:type="dxa"/>
        <w:jc w:val="left"/>
        <w:tblInd w:w="0" w:type="dxa"/>
        <w:tblLayout w:type="fixed"/>
        <w:tblCellMar>
          <w:top w:w="28" w:type="dxa"/>
          <w:left w:w="28" w:type="dxa"/>
          <w:bottom w:w="28" w:type="dxa"/>
          <w:right w:w="28" w:type="dxa"/>
        </w:tblCellMar>
      </w:tblPr>
      <w:tblGrid>
        <w:gridCol w:w="1769"/>
        <w:gridCol w:w="1297"/>
        <w:gridCol w:w="1305"/>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326"/>
        <w:gridCol w:w="330"/>
        <w:gridCol w:w="318"/>
      </w:tblGrid>
      <w:tr>
        <w:trPr/>
        <w:tc>
          <w:tcPr>
            <w:tcW w:w="176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4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unit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Total revenue was flat at $123.8 million in the first quarters of 2026 and 2025. During the first quarter of 2026, significant increases in comparable restaurant sales were mostly offset by a decline in revenue related to 50 permanent company-owned closures and a decline in franchise revenue from 11 franchise restaurant closures. Average unit volumes increased </w:t>
      </w:r>
      <w:r>
        <w:rPr>
          <w:rFonts w:ascii="Times New Roman;serif" w:hAnsi="Times New Roman;serif"/>
          <w:b w:val="false"/>
          <w:color w:val="000000"/>
          <w:sz w:val="20"/>
        </w:rPr>
        <w:t>13.5%</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$1.49 million</w:t>
      </w:r>
      <w:r>
        <w:rPr>
          <w:color w:val="000000"/>
          <w:shd w:fill="FFFFFF" w:val="clear"/>
        </w:rPr>
        <w:t xml:space="preserve"> </w:t>
      </w:r>
      <w:r>
        <w:rPr>
          <w:rFonts w:ascii="Times New Roman;serif" w:hAnsi="Times New Roman;serif"/>
          <w:b w:val="false"/>
          <w:color w:val="000000"/>
          <w:sz w:val="20"/>
          <w:shd w:fill="FFFFFF" w:val="clear"/>
        </w:rPr>
        <w:t xml:space="preserve">in the first quarter of 2026 compared to </w:t>
      </w:r>
      <w:r>
        <w:rPr>
          <w:rFonts w:ascii="Times New Roman;serif" w:hAnsi="Times New Roman;serif"/>
          <w:b w:val="false"/>
          <w:color w:val="000000"/>
          <w:sz w:val="20"/>
        </w:rPr>
        <w:t>$1.31 million</w:t>
      </w:r>
      <w:r>
        <w:rPr>
          <w:color w:val="000000"/>
          <w:shd w:fill="FFFFFF" w:val="clear"/>
        </w:rPr>
        <w:t xml:space="preserve"> </w:t>
      </w:r>
      <w:r>
        <w:rPr>
          <w:rFonts w:ascii="Times New Roman;serif" w:hAnsi="Times New Roman;serif"/>
          <w:b w:val="false"/>
          <w:color w:val="000000"/>
          <w:sz w:val="20"/>
          <w:shd w:fill="FFFFFF" w:val="clear"/>
        </w:rPr>
        <w:t xml:space="preserve">in the first quarter of 2025 primarily due to increases in same store sales and the closure of underperforming restaurants. System-wide comparable restaurant sales increased 9.1% in the first quarter of 2026 compared to the same period of 2025, comprised of a 9.4% increase at company-owned restaurants and an 8.0% increase at franchise-owned restaurants. </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decreased by 4.3%, in the first quarter of 2026 compared to the same period of 2025. As a percentage of restaurant revenue, cost of sales decreased to 25.4% in the first quarter of 2026 compared to 26.6% in first quarter of 2025, primarily due to 0.8% benefit from reduced food waste related to new menu items, a 0.6% benefit from menu price and a 0.2% benefit from lower discounts, partially offset by a 0.4% impact from a combination of menu investments and inflation.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Labor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Labor costs decreased by $3.0 million, or 7.6%, in the first quarter of 2026 compared to the same period of 2025. As a percentage of restaurant revenue, labor costs decreased to 30.0% in the first quarter of 2026 compared to 32.5% in the first quarter of 2025, primarily due to a 1.5% benefit from sales volume leverage, a 1.1% benefit from menu price and a 0.6% benefit from labor efficiencies, partially offset by a 0.7% impact from wage 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Occupancy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Occupancy costs decreased by $1.1 million or </w:t>
      </w:r>
      <w:r>
        <w:rPr>
          <w:rFonts w:ascii="Times New Roman;serif" w:hAnsi="Times New Roman;serif"/>
          <w:b w:val="false"/>
          <w:color w:val="000000"/>
          <w:sz w:val="20"/>
        </w:rPr>
        <w:t>9.9%</w:t>
      </w:r>
      <w:r>
        <w:rPr>
          <w:color w:val="000000"/>
          <w:shd w:fill="FFFFFF" w:val="clear"/>
        </w:rPr>
        <w:t xml:space="preserve"> </w:t>
      </w:r>
      <w:r>
        <w:rPr>
          <w:rFonts w:ascii="Times New Roman;serif" w:hAnsi="Times New Roman;serif"/>
          <w:b w:val="false"/>
          <w:color w:val="000000"/>
          <w:sz w:val="20"/>
          <w:shd w:fill="FFFFFF" w:val="clear"/>
        </w:rPr>
        <w:t>in the first quarter of 2026 compared to the first quarter of 2025, primarily due to permanent restaurant closures. As a percentage of restaurant revenue, occupancy costs decreased to 8.5% in the first quarter of 2026 compared to 9.5% in the first quarter of 2025, primarily due to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Restaurant Operating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restaurant operating costs increased by $0.1 million, or 0.2%, in the first quarter of 2026 compared to the first quarter of 2025. As a percentage of restaurant revenue, other restaurant operating costs increased to 21.2% in the first quarter of 2026 compared to 21.1% in the first quarter of 2025, primarily due to a 0.4% impact from increased marketing spend and a 0.3% impact from an increase in delivery fees from higher third-party delivery sales, mostly offset by a 0.3% benefit from sales volume leverage and a 0.3% benefit from lower repairs and maintenance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decreased by $0.3 million, or 2.3%, in the first quarter of 2026 compared to the first quarter of 2025, primarily due to decreases in wages, executive transition costs, software maintenance and consulting fees partially offset by increases in incentive pay. As a percentage of revenue, general and administrative expense decreased to 10.1% in the first quarter of 2026 from 10.3% in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and amortization decreased by $1.1 million, or 15.6%, in the first quarter of 2026 compared to the first quarter of 2025, primarily due to restaurant closures since the first quarter of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Impairments, Closure Costs and Asset Disposals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Restaurant impairments, closure costs and asset disposals increased $1.4 million to $2.7 million in the first quarter of 2026 compared to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the first quarter of 2025. We recorded fixed asset impairment on three restaurants and wrote down lease related assets on ten restaurants during the first quarter of 2026. In the first quarter of 2025, we did not record any fixed asset impairment. In the first quarter of 2025, we wrote down lease related assets on one restaurant.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expense, net decreased slightly in the first quarter of 2026 compared to the first quarter of 2025, primarily due to lower average interest rates in the first quarter of 2026 as compared to the first quarter of 2025, partially offset by higher debt balances in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for the first quarter of 2026 and for the first quarter of 2025 reflect the impact of the previously recorded valuation allowance. The primary components of the provision for income tax (for both quarters) are related to state tax and the change in our valuation allowance. For the remainder of fiscal 2026, we do not anticipate material income tax expense or benefit as a result of the valuation allowance recorded. We will maintain a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used cash and our revolving credit facility to fund capital expenditures for new restaurant openings, reinvest in our existing restaurants, invest in infrastructure and information technology and maintain working capital. Our working capital position benefits from the fact that we generally collect cash from sales to customers the same day, or in the case of credit or debit card transactions, within several days of the related sale, and we typically have up to 30 days to pay our vendors.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that we will have sufficient sources of cash to meet our liquidity needs and capital resource requirements for at least the next twelve months, through currently available cash and cash equivalents, availability under our revolving credit facility and cash flows from operations.</w:t>
      </w:r>
      <w:r>
        <w:rPr>
          <w:color w:val="000000"/>
        </w:rPr>
        <w:t xml:space="preserve"> </w:t>
      </w:r>
      <w:r>
        <w:rPr>
          <w:rFonts w:ascii="Times New Roman;serif" w:hAnsi="Times New Roman;serif"/>
          <w:b w:val="false"/>
          <w:color w:val="000000"/>
          <w:sz w:val="20"/>
        </w:rPr>
        <w:t>We were in compliance with our covenants as of March 31, 2026, and expect to continue to be in compliance for at least the next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investing and financing activities are shown in the following table (in thousands):</w:t>
      </w:r>
    </w:p>
    <w:tbl>
      <w:tblPr>
        <w:tblW w:w="6036"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w:t>
              <w:b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operating activities was $6.0 million in the first quarter of 2026 compared to net cash provided by operating activities of $4.0 million in the first quarter of 2025. The increase in operating cash flow resulted primarily from a decrease in net loss as adjusted for non cash items including depreciation and impairments, as well as changes in working capital related to the timing of accounts payable, payroll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decreased $0.8 million to $2.1 million in the first quarter of 2026 from $2.9 million in the first quarter of 2025. This decrease was primarily due to decreased investment in new restaurants and restaurant technology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financing activities was $3.8 million in the first quarter of 2026, compared to $0.9 million in the first quarter of 2025. The increase from the first quarter of 2025 was primarily due to payments on our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Material Cash Requirements. </w:t>
      </w:r>
      <w:r>
        <w:rPr>
          <w:rFonts w:ascii="Times New Roman;serif" w:hAnsi="Times New Roman;serif"/>
          <w:b w:val="false"/>
          <w:color w:val="000000"/>
          <w:sz w:val="20"/>
        </w:rPr>
        <w:t>Our short-term obligations consist primarily of certain lease and other contractual commitments related to our operations, normal recurring operating expenses, working capital needs, new store development, capital improvements and maintenance of our restaurants, regular interest payments on our debt obligations and certain non-recurring expenditures.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long-term obligations consist primarily of certain lease and other contractual commitments related to our operations and payment of our outstanding debt obligations. </w:t>
      </w:r>
      <w:r>
        <w:rPr>
          <w:rFonts w:ascii="Times New Roman;serif" w:hAnsi="Times New Roman;serif"/>
          <w:b w:val="false"/>
          <w:color w:val="000000"/>
          <w:sz w:val="20"/>
          <w:shd w:fill="FFFFFF" w:val="clear"/>
        </w:rPr>
        <w:t xml:space="preserve">We are obligated under non-cancelable leases for our restaurants, administrative offices and equipment. </w:t>
      </w:r>
      <w:r>
        <w:rPr>
          <w:rFonts w:ascii="Times New Roman;serif" w:hAnsi="Times New Roman;serif"/>
          <w:b w:val="false"/>
          <w:color w:val="000000"/>
          <w:sz w:val="20"/>
        </w:rPr>
        <w:t xml:space="preserve">In addition, when we have a </w:t>
      </w:r>
      <w:r>
        <w:rPr>
          <w:rFonts w:ascii="Times New Roman;serif" w:hAnsi="Times New Roman;serif"/>
          <w:b w:val="false"/>
          <w:color w:val="000000"/>
          <w:sz w:val="20"/>
          <w:shd w:fill="FFFFFF" w:val="clear"/>
        </w:rPr>
        <w:t>target for</w:t>
      </w:r>
      <w:r>
        <w:rPr>
          <w:color w:val="000000"/>
        </w:rPr>
        <w:t xml:space="preserve"> </w:t>
      </w:r>
      <w:r>
        <w:rPr>
          <w:rFonts w:ascii="Times New Roman;serif" w:hAnsi="Times New Roman;serif"/>
          <w:b w:val="false"/>
          <w:color w:val="000000"/>
          <w:sz w:val="20"/>
        </w:rPr>
        <w:t>new store development this will require capital for such year, which is expected to be funded by currently available cash and cash equivalents, cash flows from operations and our revolving credit facility.</w:t>
      </w:r>
      <w:r>
        <w:rPr>
          <w:color w:val="000000"/>
        </w:rPr>
        <w:t xml:space="preserve"> </w:t>
      </w:r>
      <w:r>
        <w:rPr>
          <w:rFonts w:ascii="Times New Roman;serif" w:hAnsi="Times New Roman;serif"/>
          <w:b w:val="false"/>
          <w:color w:val="000000"/>
          <w:sz w:val="20"/>
        </w:rPr>
        <w:t>Our capital expenditure requirements are primarily dependent upon the pace of our real estate development program and any resulting new restaurant openings, costs for maintenance and remodeling of our existing restaurants as well as information technology expenses and other general corporate capital expenditures. We currently do not plan to open any company-owned restaurants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estimate capital expenditures will be approximately $9.5 million to $10.5 million for fiscal year 2026, including $7.0 million to $8.0 million for the remainder of the year, primarily for the reinvestment in existing restaurants and investments in technology. We expect such capital expenditures to be funded by currently available cash </w:t>
      </w:r>
      <w:r>
        <w:rPr>
          <w:rFonts w:ascii="Times New Roman;serif" w:hAnsi="Times New Roman;serif"/>
          <w:b w:val="false"/>
          <w:color w:val="000000"/>
          <w:sz w:val="20"/>
        </w:rPr>
        <w:t xml:space="preserve">and cash equivalents, cash flows from operations and if necessary, undrawn capacity under our revolving credit line.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Current Resources. </w:t>
      </w:r>
      <w:r>
        <w:rPr>
          <w:rFonts w:ascii="Times New Roman;serif" w:hAnsi="Times New Roman;serif"/>
          <w:b w:val="false"/>
          <w:color w:val="000000"/>
          <w:sz w:val="20"/>
        </w:rPr>
        <w:t>Our operations have not historically required significant working capital and, like many restaurant companies, we operate with negative working capital. Restaurant sales are primarily paid for in cash or by credit or debit card, and restaurant operations do not require significant inventories or receivables. In addition, we receive trade credit for the purchase of food, beverages and supplies, therefore reducing the need for incremental working capital to support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Liquidity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had a cash balance of $1.4 million compared to $1.3 million as </w:t>
      </w:r>
      <w:r>
        <w:rPr>
          <w:rFonts w:ascii="Times New Roman;serif" w:hAnsi="Times New Roman;serif"/>
          <w:b w:val="false"/>
          <w:color w:val="000000"/>
          <w:sz w:val="20"/>
        </w:rPr>
        <w:t xml:space="preserve">of December 30, 2025. The amount available for future borrowings under our A&amp;R Credit Agreement (defined below) was $15.2 million as of March 31, 2026. </w:t>
      </w:r>
      <w:r>
        <w:rPr>
          <w:rFonts w:ascii="Times New Roman;serif" w:hAnsi="Times New Roman;serif"/>
          <w:b w:val="false"/>
          <w:color w:val="000000"/>
          <w:sz w:val="20"/>
          <w:shd w:fill="FFFFFF" w:val="clear"/>
        </w:rPr>
        <w:t xml:space="preserve">We believe that our current cash and cash equivalents, the expected cash flows from company-owned restaurant operations, the expected franchise fees and royalties and available borrowings under the revolving credit facility will be sufficient to fund our cash requirements for working capital needs and capital improvements and maintenance of existing restaurants for at least the next twelve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27, 2022, we</w:t>
      </w:r>
      <w:r>
        <w:rPr>
          <w:color w:val="000000"/>
        </w:rPr>
        <w:t xml:space="preserve"> </w:t>
      </w:r>
      <w:r>
        <w:rPr>
          <w:rFonts w:ascii="Times New Roman;serif" w:hAnsi="Times New Roman;serif"/>
          <w:b w:val="false"/>
          <w:color w:val="000000"/>
          <w:sz w:val="20"/>
        </w:rPr>
        <w:t xml:space="preserve">amended and restated our Credit Agreement by entering into </w:t>
      </w:r>
      <w:r>
        <w:rPr>
          <w:rFonts w:ascii="Times New Roman;serif" w:hAnsi="Times New Roman;serif"/>
          <w:b w:val="false"/>
          <w:color w:val="000000"/>
          <w:sz w:val="20"/>
          <w:shd w:fill="FFFFFF" w:val="clear"/>
        </w:rPr>
        <w:t>the Amended and Restated Credit Agreement as further amended, restated, extended, supplemented, modified and otherwise in effect from time to time, the (“A&amp;R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w:t>
      </w:r>
      <w:r>
        <w:rPr>
          <w:color w:val="000000"/>
        </w:rPr>
        <w:t xml:space="preserve"> </w:t>
      </w:r>
      <w:r>
        <w:rPr>
          <w:rFonts w:ascii="Times New Roman;serif" w:hAnsi="Times New Roman;serif"/>
          <w:b w:val="false"/>
          <w:color w:val="000000"/>
          <w:sz w:val="20"/>
        </w:rPr>
        <w:t>and transitioned from the London Interbank Offered Rate (“LIBOR”) to the Secured Overnight Financing Rate (“SOFR”) plus a margin of 1.50% to 2.50% per annum, based upon the consolidated total lease-adjusted leverage ratio. The A&amp;R Credit Agreement is secured by a pledge of stock of substantially all of the Company’s subsidiaries and a lien on substantially all of the personal property assets of the Company and its subsidiaries. The A&amp;R Credit Agreement was subsequently amended on December 21, 2023.</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29, 2024, we amended our A&amp;R Credit Agreement, by entering into that certain Second Amendment to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(1) 5.00 to 1.00 for the fiscal quarters ending March 31, 2026 and June 30, 2026, (2) 4.75 to 1.00 for the fiscal quarters ending September 29, 2026 and December 29, 2026 and (3) 4.50 to 1.00 for the fiscal quarter ended March 30, 2027 and thereafter and (v) amended the Consolidated Fixed Charge Coverage Ratio (as defined in the A&amp;R Credit Agreement) in Section 7.11(b) of the A&amp;R Credit Agreement to be no less than (1) 1.15 to 1.00 for the fiscal quarters ending December 30, 2025 and March 31, 2026 and (2) 1.25 to 1.00 for the fiscal quarter ending June 30, 2026 and thereafter.</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$106.8 million of indebtedness (excluding $1.2 million of unamortized debt issuance costs) and $3.0 million of letters of credit outstanding under our A&amp;R Credit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no off-balance sheet arrangements or obligations as of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our Annual Report on Form 10-K for the year ended December 30, 2025.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Our critical accounting estimates are identified and described in our annual consolidated financial statements and the related notes included in our Annual Report on Form 10-K for our fiscal year ended December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exposed to market risk from changes in interest rates on outstanding debt. Our exposure to interest rate fluctuations is limited to our outstanding bank debt, which bears interest at variable rates. As of March 31, 2026, we had $106.8 million of outstanding borrowings under our A&amp;R Credit Agreement, with an average interest rate during the </w:t>
      </w:r>
      <w:r>
        <w:rPr>
          <w:rFonts w:ascii="Times New Roman;serif" w:hAnsi="Times New Roman;serif"/>
          <w:b w:val="false"/>
          <w:color w:val="000000"/>
          <w:sz w:val="20"/>
          <w:shd w:fill="FFFFFF" w:val="clear"/>
        </w:rPr>
        <w:t>first quarter of 2026</w:t>
      </w:r>
      <w:r>
        <w:rPr>
          <w:color w:val="000000"/>
        </w:rPr>
        <w:t xml:space="preserve"> </w:t>
      </w:r>
      <w:r>
        <w:rPr>
          <w:rFonts w:ascii="Times New Roman;serif" w:hAnsi="Times New Roman;serif"/>
          <w:b w:val="false"/>
          <w:color w:val="000000"/>
          <w:sz w:val="20"/>
        </w:rPr>
        <w:t>of 8.0%, compa</w:t>
      </w:r>
      <w:r>
        <w:rPr>
          <w:rFonts w:ascii="Times New Roman;serif" w:hAnsi="Times New Roman;serif"/>
          <w:b w:val="false"/>
          <w:color w:val="000000"/>
          <w:sz w:val="20"/>
          <w:shd w:fill="FFFFFF" w:val="clear"/>
        </w:rPr>
        <w:t>red to 8.7% duri</w:t>
      </w:r>
      <w:r>
        <w:rPr>
          <w:rFonts w:ascii="Times New Roman;serif" w:hAnsi="Times New Roman;serif"/>
          <w:b w:val="false"/>
          <w:color w:val="000000"/>
          <w:sz w:val="20"/>
        </w:rPr>
        <w:t xml:space="preserve">ng the </w:t>
      </w:r>
      <w:r>
        <w:rPr>
          <w:rFonts w:ascii="Times New Roman;serif" w:hAnsi="Times New Roman;serif"/>
          <w:b w:val="false"/>
          <w:color w:val="000000"/>
          <w:sz w:val="20"/>
          <w:shd w:fill="FFFFFF" w:val="clear"/>
        </w:rPr>
        <w:t>first quarter</w:t>
      </w:r>
      <w:r>
        <w:rPr>
          <w:color w:val="000000"/>
        </w:rPr>
        <w:t xml:space="preserve"> </w:t>
      </w:r>
      <w:r>
        <w:rPr>
          <w:rFonts w:ascii="Times New Roman;serif" w:hAnsi="Times New Roman;serif"/>
          <w:b w:val="false"/>
          <w:color w:val="000000"/>
          <w:sz w:val="20"/>
        </w:rPr>
        <w:t>of 2025. An increase or decrease of 1.0% in the effective interest rate applied on these loans would have resulted in a pre-tax interest expe</w:t>
      </w:r>
      <w:r>
        <w:rPr>
          <w:rFonts w:ascii="Times New Roman;serif" w:hAnsi="Times New Roman;serif"/>
          <w:b w:val="false"/>
          <w:color w:val="000000"/>
          <w:sz w:val="20"/>
          <w:shd w:fill="FFFFFF" w:val="clear"/>
        </w:rPr>
        <w:t xml:space="preserve">nse fluctuation of approximately $1.1 million on an annualized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purchase certain products that are affected by commodity prices and are, therefore, subject to price volatility caused by weather, market conditions, trade tariffs and other factors that are not considered predictable or within our control. Although these products are subject to changes in commodity prices, certain purchasing contracts or pricing arrangements contain risk management techniques designed to minimize price volatility. We use these types of purchasing techniques to control costs as an alternative to directly managing financial instruments to hedge commodity prices. In many cases, we believe we may be able to address material commodity cost increases by adjusting our menu</w:t>
      </w:r>
      <w:r>
        <w:rPr>
          <w:color w:val="000000"/>
          <w:shd w:fill="FFFFFF" w:val="clear"/>
        </w:rPr>
        <w:t xml:space="preserve"> </w:t>
      </w:r>
      <w:r>
        <w:rPr>
          <w:rFonts w:ascii="Times New Roman;serif" w:hAnsi="Times New Roman;serif"/>
          <w:b w:val="false"/>
          <w:color w:val="000000"/>
          <w:sz w:val="20"/>
          <w:shd w:fill="FFFFFF" w:val="clear"/>
        </w:rPr>
        <w:t>pricing, but multiple price increases over a short period of time may negatively affect customer behavior, as we observed in 2023. We have evaluated and will continue to evaluate the impact of import laws and tariffs (including any refunds) on our operations as some of our food items are imported from India, Mexico and other countries. As of March 31, 2026, there was no material impact on our business, financial condition, results of operations or cash flows. However, tariffs continue to change and we expect tariffs may continue to impact our operations in certain areas, such as food and beverage costs, construction and equipment costs and other restaurant operating costs, into 2026. We will continue to utilize fixed price contracts for certain key items to mitigate risk. However, i</w:t>
      </w:r>
      <w:r>
        <w:rPr>
          <w:rFonts w:ascii="Times New Roman;serif" w:hAnsi="Times New Roman;serif"/>
          <w:b w:val="false"/>
          <w:color w:val="000000"/>
          <w:sz w:val="20"/>
        </w:rPr>
        <w:t>ncreases in commodity prices, without adjustments to our menu prices, have and could continue to increase restaurant operating costs as a percentage of restaurant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primary inflationary factors affecting our operations are food costs, labor costs, energy costs and materials and labor used in the construction of new restaurants. There is also uncertainty around tariffs and the potential impacts on our food costs. Additionally, many of our leases </w:t>
      </w:r>
      <w:r>
        <w:rPr>
          <w:rFonts w:ascii="Times New Roman;serif" w:hAnsi="Times New Roman;serif"/>
          <w:b w:val="false"/>
          <w:color w:val="000000"/>
          <w:sz w:val="20"/>
          <w:shd w:fill="FFFFFF" w:val="clear"/>
        </w:rPr>
        <w:t xml:space="preserve">require us to pay taxes, maintenance, repairs, insurance and utilities, all of which are generally subject to inflationary increases. We anticipate inflation may continue to affect our results in the near future.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ur management carried out an evaluation, under the supervision and with the participation of our Chief Executive Officer and Chief Financial Officer, of the effectiveness of the design and operation of our disclosure controls and procedures as of March 31, 2026, pursuant to Rule 13a-15 under the Exchange Act.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Based on that evaluation, our Chief Executive Officer and Chief Financial Officer concluded that our disclosure controls and procedures were effective as of March 31, 2026 to provide reasonable assurance that information we are required to dis</w:t>
      </w:r>
      <w:r>
        <w:rPr>
          <w:rFonts w:ascii="Times New Roman;serif" w:hAnsi="Times New Roman;serif"/>
          <w:b w:val="false"/>
          <w:color w:val="000000"/>
          <w:sz w:val="20"/>
        </w:rPr>
        <w:t xml:space="preserve">close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 description of the risk factors associated with our business is contained in the “Risk Factors” section of our</w:t>
      </w:r>
      <w:r>
        <w:rPr>
          <w:color w:val="000000"/>
        </w:rPr>
        <w:t xml:space="preserve"> </w:t>
      </w:r>
      <w:r>
        <w:rPr>
          <w:rFonts w:ascii="Times New Roman;serif" w:hAnsi="Times New Roman;serif"/>
          <w:b w:val="false"/>
          <w:color w:val="000000"/>
          <w:sz w:val="20"/>
        </w:rPr>
        <w:t>Annual Report on Form 10-K for our fiscal year ended December 30, 2025. There have been no material changes to our Risk Factors as previously reported in our Annual Report on Form 10-K for our fiscal year ended December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and Executive Officer Trading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March 31, 2026, no director or officer adopted or terminated any Rule 10b5-1 or non-Rule 10b5-1 trading arrangements (as defined in Item 408 of Regulation S-K).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 Index </w:t>
      </w:r>
    </w:p>
    <w:tbl>
      <w:tblPr>
        <w:tblW w:w="10205" w:type="dxa"/>
        <w:jc w:val="left"/>
        <w:tblInd w:w="0" w:type="dxa"/>
        <w:tblLayout w:type="fixed"/>
        <w:tblCellMar>
          <w:top w:w="28" w:type="dxa"/>
          <w:left w:w="28" w:type="dxa"/>
          <w:bottom w:w="28" w:type="dxa"/>
          <w:right w:w="28" w:type="dxa"/>
        </w:tblCellMar>
      </w:tblPr>
      <w:tblGrid>
        <w:gridCol w:w="466"/>
        <w:gridCol w:w="379"/>
        <w:gridCol w:w="380"/>
        <w:gridCol w:w="109"/>
        <w:gridCol w:w="109"/>
        <w:gridCol w:w="109"/>
        <w:gridCol w:w="2601"/>
        <w:gridCol w:w="2508"/>
        <w:gridCol w:w="3544"/>
      </w:tblGrid>
      <w:tr>
        <w:trPr/>
        <w:tc>
          <w:tcPr>
            <w:tcW w:w="4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44"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21.htm">
              <w:r>
                <w:rPr>
                  <w:rStyle w:val="InternetLink"/>
                  <w:rFonts w:ascii="Times New Roman;serif" w:hAnsi="Times New Roman;serif"/>
                  <w:b w:val="false"/>
                  <w:color w:val="0000FF"/>
                  <w:sz w:val="20"/>
                  <w:u w:val="single"/>
                </w:rPr>
                <w:t>Certification of Principal Executive Officer and Principal Financial Officer pursuant to Section 906 of the Sarbanes-Oxley Act of 2002</w:t>
              </w:r>
            </w:hyperlink>
            <w:r>
              <w:rPr>
                <w:color w:val="000000"/>
              </w:rPr>
              <w:t xml:space="preserve"> </w:t>
            </w:r>
            <w:r>
              <w:rPr>
                <w:rFonts w:ascii="Times New Roman;serif" w:hAnsi="Times New Roman;serif"/>
                <w:b w:val="false"/>
                <w:color w:val="000000"/>
                <w:sz w:val="20"/>
              </w:rPr>
              <w:t>(furnished herewith)</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090ec634d13f409db2350ca2be121a4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before="0" w:after="0"/>
        <w:jc w:val="both"/>
        <w:rPr/>
      </w:pPr>
      <w:r>
        <w:rPr/>
      </w:r>
    </w:p>
    <w:tbl>
      <w:tblPr>
        <w:tblW w:w="9466" w:type="dxa"/>
        <w:jc w:val="left"/>
        <w:tblInd w:w="0" w:type="dxa"/>
        <w:tblLayout w:type="fixed"/>
        <w:tblCellMar>
          <w:top w:w="28" w:type="dxa"/>
          <w:left w:w="28" w:type="dxa"/>
          <w:bottom w:w="28" w:type="dxa"/>
          <w:right w:w="28" w:type="dxa"/>
        </w:tblCellMar>
      </w:tblPr>
      <w:tblGrid>
        <w:gridCol w:w="409"/>
        <w:gridCol w:w="359"/>
        <w:gridCol w:w="359"/>
        <w:gridCol w:w="2434"/>
        <w:gridCol w:w="2434"/>
        <w:gridCol w:w="3471"/>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NOODLES &amp; COMPANY</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Mike Hynes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and duly authorized signatory for the registrant)</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bl>
    <w:p>
      <w:pPr>
        <w:pStyle w:val="TextBody"/>
        <w:bidi w:val="0"/>
        <w:spacing w:before="0" w:after="0"/>
        <w:jc w:val="left"/>
        <w:rPr/>
      </w:pPr>
      <w:r>
        <w:rPr/>
      </w:r>
    </w:p>
    <w:p>
      <w:pPr>
        <w:pStyle w:val="TextBody"/>
        <w:bidi w:val="0"/>
        <w:spacing w:before="16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160"/>
        <w:jc w:val="center"/>
        <w:rPr>
          <w:color w:val="000000"/>
        </w:rPr>
      </w:pPr>
      <w:r>
        <w:rPr>
          <w:color w:val="000000"/>
        </w:rPr>
        <w:t>    </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I, Joseph Christina, certify that:</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Noodles and Company;</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tbl>
      <w:tblPr>
        <w:tblW w:w="2843" w:type="dxa"/>
        <w:jc w:val="center"/>
        <w:tblInd w:w="0" w:type="dxa"/>
        <w:tblLayout w:type="fixed"/>
        <w:tblCellMar>
          <w:top w:w="28" w:type="dxa"/>
          <w:left w:w="28" w:type="dxa"/>
          <w:bottom w:w="28" w:type="dxa"/>
          <w:right w:w="28" w:type="dxa"/>
        </w:tblCellMar>
      </w:tblPr>
      <w:tblGrid>
        <w:gridCol w:w="124"/>
        <w:gridCol w:w="109"/>
        <w:gridCol w:w="109"/>
        <w:gridCol w:w="709"/>
        <w:gridCol w:w="709"/>
        <w:gridCol w:w="7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60"/>
        <w:jc w:val="center"/>
        <w:rPr>
          <w:color w:val="000000"/>
        </w:rPr>
      </w:pPr>
      <w:r>
        <w:rPr>
          <w:color w:val="000000"/>
        </w:rPr>
        <w:t>    </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I, Mike Hynes, certify that: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10-Q of Noodles and Company;</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0" w:after="0"/>
        <w:jc w:val="left"/>
        <w:rPr/>
      </w:pPr>
      <w:r>
        <w:rPr/>
      </w:r>
    </w:p>
    <w:tbl>
      <w:tblPr>
        <w:tblW w:w="2754" w:type="dxa"/>
        <w:jc w:val="center"/>
        <w:tblInd w:w="0" w:type="dxa"/>
        <w:tblLayout w:type="fixed"/>
        <w:tblCellMar>
          <w:top w:w="28" w:type="dxa"/>
          <w:left w:w="28" w:type="dxa"/>
          <w:bottom w:w="28" w:type="dxa"/>
          <w:right w:w="28" w:type="dxa"/>
        </w:tblCellMar>
      </w:tblPr>
      <w:tblGrid>
        <w:gridCol w:w="124"/>
        <w:gridCol w:w="109"/>
        <w:gridCol w:w="109"/>
        <w:gridCol w:w="649"/>
        <w:gridCol w:w="649"/>
        <w:gridCol w:w="652"/>
        <w:gridCol w:w="135"/>
        <w:gridCol w:w="135"/>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Joseph Christina, certify, pursuant to 18 U.S.C. Section 1350, as adopted pursuant to Section 906 of the Sarbanes-Oxley Act of 2002, that the Quarterly Report of Noodles &amp; Company on Form 10-Q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428"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Mike Hynes, certify, pursuant to 18 U.S.C. Section 1350, as adopted pursuant to Section 906 of the Sarbanes-Oxley Act of 2002, that the Quarterly Report of Noodles &amp; Company on Form 10-Q for the fiscal quarter ended March 31, 2026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3353"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13545</Words>
  <Characters>75705</Characters>
  <CharactersWithSpaces>88394</CharactersWithSpaces>
  <Paragraphs>1668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