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3"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30, 2025</w:t>
      </w:r>
    </w:p>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6" w:lineRule="exact"/>
        <w:rPr>
          <w:sz w:val="24"/>
          <w:szCs w:val="24"/>
          <w:color w:val="auto"/>
        </w:rPr>
      </w:pPr>
    </w:p>
    <w:tbl>
      <w:tblPr>
        <w:tblLayout w:type="fixed"/>
        <w:tblInd w:w="27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w:t>
            </w:r>
          </w:p>
        </w:tc>
        <w:tc>
          <w:tcPr>
            <w:tcW w:w="56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0"/>
        </w:trPr>
        <w:tc>
          <w:tcPr>
            <w:tcW w:w="3580" w:type="dxa"/>
            <w:vAlign w:val="bottom"/>
          </w:tcPr>
          <w:p>
            <w:pPr>
              <w:spacing w:after="0"/>
              <w:rPr>
                <w:sz w:val="19"/>
                <w:szCs w:val="19"/>
                <w:color w:val="auto"/>
              </w:rPr>
            </w:pPr>
          </w:p>
        </w:tc>
        <w:tc>
          <w:tcPr>
            <w:tcW w:w="3380" w:type="dxa"/>
            <w:vAlign w:val="bottom"/>
            <w:gridSpan w:val="4"/>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Commission File Number: 001-35987</w:t>
            </w:r>
          </w:p>
        </w:tc>
        <w:tc>
          <w:tcPr>
            <w:tcW w:w="56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480"/>
        </w:trPr>
        <w:tc>
          <w:tcPr>
            <w:tcW w:w="3580" w:type="dxa"/>
            <w:vAlign w:val="bottom"/>
          </w:tcPr>
          <w:p>
            <w:pPr>
              <w:spacing w:after="0"/>
              <w:rPr>
                <w:sz w:val="24"/>
                <w:szCs w:val="24"/>
                <w:color w:val="auto"/>
              </w:rPr>
            </w:pPr>
          </w:p>
        </w:tc>
        <w:tc>
          <w:tcPr>
            <w:tcW w:w="3940" w:type="dxa"/>
            <w:vAlign w:val="bottom"/>
            <w:gridSpan w:val="5"/>
          </w:tcPr>
          <w:p>
            <w:pPr>
              <w:jc w:val="center"/>
              <w:ind w:right="313"/>
              <w:spacing w:after="0"/>
              <w:rPr>
                <w:sz w:val="20"/>
                <w:szCs w:val="20"/>
                <w:color w:val="auto"/>
              </w:rPr>
            </w:pPr>
            <w:r>
              <w:rPr>
                <w:rFonts w:ascii="Times New Roman" w:cs="Times New Roman" w:eastAsia="Times New Roman" w:hAnsi="Times New Roman"/>
                <w:sz w:val="31"/>
                <w:szCs w:val="31"/>
                <w:b w:val="1"/>
                <w:bCs w:val="1"/>
                <w:color w:val="auto"/>
                <w:w w:val="98"/>
              </w:rPr>
              <w:t>NOODLES &amp; COMPANY</w:t>
            </w:r>
          </w:p>
        </w:tc>
        <w:tc>
          <w:tcPr>
            <w:tcW w:w="3220" w:type="dxa"/>
            <w:vAlign w:val="bottom"/>
          </w:tcPr>
          <w:p>
            <w:pPr>
              <w:spacing w:after="0"/>
              <w:rPr>
                <w:sz w:val="24"/>
                <w:szCs w:val="24"/>
                <w:color w:val="auto"/>
              </w:rPr>
            </w:pPr>
          </w:p>
        </w:tc>
      </w:tr>
      <w:tr>
        <w:trPr>
          <w:trHeight w:val="142"/>
        </w:trPr>
        <w:tc>
          <w:tcPr>
            <w:tcW w:w="3580" w:type="dxa"/>
            <w:vAlign w:val="bottom"/>
          </w:tcPr>
          <w:p>
            <w:pPr>
              <w:spacing w:after="0"/>
              <w:rPr>
                <w:sz w:val="12"/>
                <w:szCs w:val="12"/>
                <w:color w:val="auto"/>
              </w:rPr>
            </w:pPr>
          </w:p>
        </w:tc>
        <w:tc>
          <w:tcPr>
            <w:tcW w:w="3380" w:type="dxa"/>
            <w:vAlign w:val="bottom"/>
            <w:gridSpan w:val="4"/>
          </w:tcPr>
          <w:p>
            <w:pPr>
              <w:jc w:val="center"/>
              <w:ind w:left="115"/>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c>
          <w:tcPr>
            <w:tcW w:w="56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485"/>
        </w:trPr>
        <w:tc>
          <w:tcPr>
            <w:tcW w:w="3580" w:type="dxa"/>
            <w:vAlign w:val="bottom"/>
          </w:tcPr>
          <w:p>
            <w:pPr>
              <w:jc w:val="center"/>
              <w:ind w:left="233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gridSpan w:val="2"/>
          </w:tcPr>
          <w:p>
            <w:pPr>
              <w:jc w:val="center"/>
              <w:ind w:right="2154"/>
              <w:spacing w:after="0"/>
              <w:rPr>
                <w:sz w:val="20"/>
                <w:szCs w:val="20"/>
                <w:color w:val="auto"/>
              </w:rPr>
            </w:pPr>
            <w:r>
              <w:rPr>
                <w:rFonts w:ascii="Times New Roman" w:cs="Times New Roman" w:eastAsia="Times New Roman" w:hAnsi="Times New Roman"/>
                <w:sz w:val="14"/>
                <w:szCs w:val="14"/>
                <w:b w:val="1"/>
                <w:bCs w:val="1"/>
                <w:color w:val="auto"/>
              </w:rPr>
              <w:t>84-1303469</w:t>
            </w:r>
          </w:p>
        </w:tc>
      </w:tr>
      <w:tr>
        <w:trPr>
          <w:trHeight w:val="217"/>
        </w:trPr>
        <w:tc>
          <w:tcPr>
            <w:tcW w:w="60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 incorporation or organization)</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80" w:type="dxa"/>
            <w:vAlign w:val="bottom"/>
            <w:gridSpan w:val="2"/>
          </w:tcPr>
          <w:p>
            <w:pPr>
              <w:jc w:val="center"/>
              <w:ind w:right="2154"/>
              <w:spacing w:after="0"/>
              <w:rPr>
                <w:sz w:val="20"/>
                <w:szCs w:val="20"/>
                <w:color w:val="auto"/>
              </w:rPr>
            </w:pPr>
            <w:r>
              <w:rPr>
                <w:rFonts w:ascii="Times New Roman" w:cs="Times New Roman" w:eastAsia="Times New Roman" w:hAnsi="Times New Roman"/>
                <w:sz w:val="11"/>
                <w:szCs w:val="11"/>
                <w:b w:val="1"/>
                <w:bCs w:val="1"/>
                <w:color w:val="auto"/>
                <w:w w:val="97"/>
              </w:rPr>
              <w:t>(IRS Employer Identification No.)</w:t>
            </w:r>
          </w:p>
        </w:tc>
      </w:tr>
      <w:tr>
        <w:trPr>
          <w:trHeight w:val="323"/>
        </w:trPr>
        <w:tc>
          <w:tcPr>
            <w:tcW w:w="3580" w:type="dxa"/>
            <w:vAlign w:val="bottom"/>
          </w:tcPr>
          <w:p>
            <w:pPr>
              <w:jc w:val="center"/>
              <w:ind w:left="1313"/>
              <w:spacing w:after="0"/>
              <w:rPr>
                <w:sz w:val="20"/>
                <w:szCs w:val="20"/>
                <w:color w:val="auto"/>
              </w:rPr>
            </w:pPr>
            <w:r>
              <w:rPr>
                <w:rFonts w:ascii="Times New Roman" w:cs="Times New Roman" w:eastAsia="Times New Roman" w:hAnsi="Times New Roman"/>
                <w:sz w:val="14"/>
                <w:szCs w:val="14"/>
                <w:b w:val="1"/>
                <w:bCs w:val="1"/>
                <w:color w:val="auto"/>
              </w:rPr>
              <w:t>520 Zang Street, Suite D</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3580" w:type="dxa"/>
            <w:vAlign w:val="bottom"/>
          </w:tcPr>
          <w:p>
            <w:pPr>
              <w:jc w:val="center"/>
              <w:ind w:left="1333"/>
              <w:spacing w:after="0"/>
              <w:rPr>
                <w:sz w:val="20"/>
                <w:szCs w:val="20"/>
                <w:color w:val="auto"/>
              </w:rPr>
            </w:pPr>
            <w:r>
              <w:rPr>
                <w:rFonts w:ascii="Times New Roman" w:cs="Times New Roman" w:eastAsia="Times New Roman" w:hAnsi="Times New Roman"/>
                <w:sz w:val="14"/>
                <w:szCs w:val="14"/>
                <w:b w:val="1"/>
                <w:bCs w:val="1"/>
                <w:color w:val="auto"/>
              </w:rPr>
              <w:t>Broomfield, CO</w:t>
            </w: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20" w:type="dxa"/>
            <w:vAlign w:val="bottom"/>
          </w:tcPr>
          <w:p>
            <w:pPr>
              <w:jc w:val="right"/>
              <w:ind w:right="2254"/>
              <w:spacing w:after="0"/>
              <w:rPr>
                <w:sz w:val="20"/>
                <w:szCs w:val="20"/>
                <w:color w:val="auto"/>
              </w:rPr>
            </w:pPr>
            <w:r>
              <w:rPr>
                <w:rFonts w:ascii="Times New Roman" w:cs="Times New Roman" w:eastAsia="Times New Roman" w:hAnsi="Times New Roman"/>
                <w:sz w:val="14"/>
                <w:szCs w:val="14"/>
                <w:b w:val="1"/>
                <w:bCs w:val="1"/>
                <w:color w:val="auto"/>
              </w:rPr>
              <w:t>80021</w:t>
            </w:r>
          </w:p>
        </w:tc>
      </w:tr>
      <w:tr>
        <w:trPr>
          <w:trHeight w:val="163"/>
        </w:trPr>
        <w:tc>
          <w:tcPr>
            <w:tcW w:w="3580" w:type="dxa"/>
            <w:vAlign w:val="bottom"/>
          </w:tcPr>
          <w:p>
            <w:pPr>
              <w:jc w:val="center"/>
              <w:ind w:left="1313"/>
              <w:spacing w:after="0"/>
              <w:rPr>
                <w:sz w:val="20"/>
                <w:szCs w:val="20"/>
                <w:color w:val="auto"/>
              </w:rPr>
            </w:pPr>
            <w:r>
              <w:rPr>
                <w:rFonts w:ascii="Times New Roman" w:cs="Times New Roman" w:eastAsia="Times New Roman" w:hAnsi="Times New Roman"/>
                <w:sz w:val="11"/>
                <w:szCs w:val="11"/>
                <w:color w:val="auto"/>
                <w:w w:val="98"/>
              </w:rPr>
              <w:t>(Address of principal executive offices)</w:t>
            </w:r>
          </w:p>
        </w:tc>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20" w:type="dxa"/>
            <w:vAlign w:val="bottom"/>
          </w:tcPr>
          <w:p>
            <w:pPr>
              <w:jc w:val="center"/>
              <w:ind w:right="1714"/>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269"/>
        </w:trPr>
        <w:tc>
          <w:tcPr>
            <w:tcW w:w="7520" w:type="dxa"/>
            <w:vAlign w:val="bottom"/>
            <w:gridSpan w:val="6"/>
          </w:tcPr>
          <w:p>
            <w:pPr>
              <w:jc w:val="center"/>
              <w:ind w:left="315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(720) 214-1900</w:t>
            </w:r>
          </w:p>
        </w:tc>
        <w:tc>
          <w:tcPr>
            <w:tcW w:w="3220" w:type="dxa"/>
            <w:vAlign w:val="bottom"/>
          </w:tcPr>
          <w:p>
            <w:pPr>
              <w:spacing w:after="0"/>
              <w:rPr>
                <w:sz w:val="23"/>
                <w:szCs w:val="23"/>
                <w:color w:val="auto"/>
              </w:rPr>
            </w:pPr>
          </w:p>
        </w:tc>
      </w:tr>
      <w:tr>
        <w:trPr>
          <w:trHeight w:val="338"/>
        </w:trPr>
        <w:tc>
          <w:tcPr>
            <w:tcW w:w="3580" w:type="dxa"/>
            <w:vAlign w:val="bottom"/>
          </w:tcPr>
          <w:p>
            <w:pPr>
              <w:spacing w:after="0"/>
              <w:rPr>
                <w:sz w:val="24"/>
                <w:szCs w:val="24"/>
                <w:color w:val="auto"/>
              </w:rPr>
            </w:pPr>
          </w:p>
        </w:tc>
        <w:tc>
          <w:tcPr>
            <w:tcW w:w="3940" w:type="dxa"/>
            <w:vAlign w:val="bottom"/>
            <w:gridSpan w:val="5"/>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20" w:type="dxa"/>
            <w:vAlign w:val="bottom"/>
          </w:tcPr>
          <w:p>
            <w:pPr>
              <w:spacing w:after="0"/>
              <w:rPr>
                <w:sz w:val="24"/>
                <w:szCs w:val="24"/>
                <w:color w:val="auto"/>
              </w:rPr>
            </w:pPr>
          </w:p>
        </w:tc>
      </w:tr>
      <w:tr>
        <w:trPr>
          <w:trHeight w:val="118"/>
        </w:trPr>
        <w:tc>
          <w:tcPr>
            <w:tcW w:w="35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r>
      <w:tr>
        <w:trPr>
          <w:trHeight w:val="149"/>
        </w:trPr>
        <w:tc>
          <w:tcPr>
            <w:tcW w:w="3580" w:type="dxa"/>
            <w:vAlign w:val="bottom"/>
            <w:tcBorders>
              <w:left w:val="single" w:sz="8" w:color="auto"/>
              <w:bottom w:val="single" w:sz="8" w:color="auto"/>
            </w:tcBorders>
          </w:tcPr>
          <w:p>
            <w:pPr>
              <w:jc w:val="center"/>
              <w:ind w:left="453"/>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8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1"/>
                <w:szCs w:val="11"/>
                <w:b w:val="1"/>
                <w:bCs w:val="1"/>
                <w:color w:val="auto"/>
                <w:w w:val="99"/>
              </w:rPr>
              <w:t>Trading Symbol</w:t>
            </w:r>
          </w:p>
        </w:tc>
        <w:tc>
          <w:tcPr>
            <w:tcW w:w="3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96"/>
        </w:trPr>
        <w:tc>
          <w:tcPr>
            <w:tcW w:w="3580" w:type="dxa"/>
            <w:vAlign w:val="bottom"/>
            <w:tcBorders>
              <w:left w:val="single" w:sz="8" w:color="auto"/>
              <w:bottom w:val="single" w:sz="8" w:color="auto"/>
            </w:tcBorders>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84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NDLS</w:t>
            </w:r>
          </w:p>
        </w:tc>
        <w:tc>
          <w:tcPr>
            <w:tcW w:w="32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327"/>
        </w:trPr>
        <w:tc>
          <w:tcPr>
            <w:tcW w:w="7520" w:type="dxa"/>
            <w:vAlign w:val="bottom"/>
            <w:gridSpan w:val="6"/>
          </w:tcPr>
          <w:p>
            <w:pPr>
              <w:jc w:val="center"/>
              <w:ind w:left="315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220" w:type="dxa"/>
            <w:vAlign w:val="bottom"/>
          </w:tcPr>
          <w:p>
            <w:pPr>
              <w:spacing w:after="0"/>
              <w:rPr>
                <w:sz w:val="24"/>
                <w:szCs w:val="24"/>
                <w:color w:val="auto"/>
              </w:rPr>
            </w:pPr>
          </w:p>
        </w:tc>
      </w:tr>
      <w:tr>
        <w:trPr>
          <w:trHeight w:val="346"/>
        </w:trPr>
        <w:tc>
          <w:tcPr>
            <w:tcW w:w="696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20" w:type="dxa"/>
            <w:vAlign w:val="bottom"/>
          </w:tcPr>
          <w:p>
            <w:pPr>
              <w:jc w:val="center"/>
              <w:ind w:right="2754"/>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x</w:t>
            </w:r>
          </w:p>
        </w:tc>
      </w:tr>
      <w:tr>
        <w:trPr>
          <w:trHeight w:val="257"/>
        </w:trPr>
        <w:tc>
          <w:tcPr>
            <w:tcW w:w="696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x</w:t>
            </w:r>
          </w:p>
        </w:tc>
      </w:tr>
    </w:tbl>
    <w:p>
      <w:pPr>
        <w:spacing w:after="0" w:line="46"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2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30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7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8" w:lineRule="exact"/>
        <w:rPr>
          <w:sz w:val="24"/>
          <w:szCs w:val="24"/>
          <w:color w:val="auto"/>
        </w:rPr>
      </w:pPr>
    </w:p>
    <w:p>
      <w:pPr>
        <w:ind w:right="180" w:firstLine="324"/>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14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9" w:lineRule="exact"/>
        <w:rPr>
          <w:sz w:val="24"/>
          <w:szCs w:val="24"/>
          <w:color w:val="auto"/>
        </w:rPr>
      </w:pPr>
    </w:p>
    <w:p>
      <w:pPr>
        <w:ind w:right="20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5" w:lineRule="exact"/>
        <w:rPr>
          <w:sz w:val="24"/>
          <w:szCs w:val="24"/>
          <w:color w:val="auto"/>
        </w:rPr>
      </w:pPr>
    </w:p>
    <w:p>
      <w:pPr>
        <w:ind w:right="48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 w:lineRule="exact"/>
        <w:rPr>
          <w:sz w:val="24"/>
          <w:szCs w:val="24"/>
          <w:color w:val="auto"/>
        </w:rPr>
      </w:pPr>
    </w:p>
    <w:p>
      <w:pPr>
        <w:ind w:left="340"/>
        <w:spacing w:after="0" w:line="184" w:lineRule="exact"/>
        <w:tabs>
          <w:tab w:leader="none" w:pos="6380" w:val="left"/>
          <w:tab w:leader="none" w:pos="69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113" w:lineRule="exact"/>
        <w:rPr>
          <w:sz w:val="24"/>
          <w:szCs w:val="24"/>
          <w:color w:val="auto"/>
        </w:rPr>
      </w:pPr>
    </w:p>
    <w:p>
      <w:pPr>
        <w:ind w:right="180" w:firstLine="324"/>
        <w:spacing w:after="0" w:line="30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as of July 1, 2025, the last business day of the registrant’s most recently completed second fiscal quarter, was $26.1 million. This amount was calculated based on the closing price of the common stock on July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9"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on the Nasdaq Global Select Market. All executive officers and directors of the registrant have been deemed, solely for the purpose of the foregoing calculation, to be “affiliates” of the registrant.</w:t>
      </w:r>
    </w:p>
    <w:p>
      <w:pPr>
        <w:spacing w:after="0" w:line="82" w:lineRule="exact"/>
        <w:rPr>
          <w:sz w:val="20"/>
          <w:szCs w:val="20"/>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As of March 20, 2026, there were 5,888,223 shares of the registrant’s Class A common stock, par value of $0.01 per share outstanding (reflecting the 1-for-8 reverse stock split described herein), and no shares of the registrant’s Class B common stock, par value $0.01 per share, outstanding.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4"/>
          <w:szCs w:val="14"/>
          <w:color w:val="auto"/>
        </w:rPr>
        <w:t>Portions of the registrant’s proxy statement relating to its 2026 Annual Meeting of Stockholders, to be held on or about May 13, 2026, are incorporated by reference into Part III of this Annual Report on Form 10-K, where so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gridSpan w:val="1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5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5320" w:type="dxa"/>
            <w:vAlign w:val="bottom"/>
            <w:gridSpan w:val="9"/>
            <w:vMerge w:val="restart"/>
          </w:tcPr>
          <w:p>
            <w:pPr>
              <w:jc w:val="center"/>
              <w:ind w:right="3340"/>
              <w:spacing w:after="0"/>
              <w:rPr>
                <w:sz w:val="20"/>
                <w:szCs w:val="20"/>
                <w:color w:val="auto"/>
              </w:rPr>
            </w:pPr>
            <w:r>
              <w:rPr>
                <w:rFonts w:ascii="Times New Roman" w:cs="Times New Roman" w:eastAsia="Times New Roman" w:hAnsi="Times New Roman"/>
                <w:sz w:val="18"/>
                <w:szCs w:val="18"/>
                <w:color w:val="auto"/>
                <w:w w:val="95"/>
              </w:rPr>
              <w:t>PART I</w:t>
            </w: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5320" w:type="dxa"/>
            <w:vAlign w:val="bottom"/>
            <w:gridSpan w:val="9"/>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87"/>
              </w:rPr>
              <w:t>Business</w:t>
            </w:r>
          </w:p>
        </w:tc>
        <w:tc>
          <w:tcPr>
            <w:tcW w:w="8000" w:type="dxa"/>
            <w:vAlign w:val="bottom"/>
            <w:gridSpan w:val="21"/>
          </w:tcPr>
          <w:p>
            <w:pPr>
              <w:spacing w:after="0"/>
              <w:rPr>
                <w:sz w:val="16"/>
                <w:szCs w:val="16"/>
                <w:color w:val="auto"/>
              </w:rPr>
            </w:pPr>
          </w:p>
        </w:tc>
        <w:tc>
          <w:tcPr>
            <w:tcW w:w="72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9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0"/>
              </w:rPr>
              <w:t>Risk Factors</w:t>
            </w:r>
          </w:p>
        </w:tc>
        <w:tc>
          <w:tcPr>
            <w:tcW w:w="7740" w:type="dxa"/>
            <w:vAlign w:val="bottom"/>
            <w:gridSpan w:val="18"/>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9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9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00" w:type="dxa"/>
            <w:vAlign w:val="bottom"/>
            <w:gridSpan w:val="12"/>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0"/>
              </w:rPr>
              <w:t>Properties</w:t>
            </w:r>
          </w:p>
        </w:tc>
        <w:tc>
          <w:tcPr>
            <w:tcW w:w="260" w:type="dxa"/>
            <w:vAlign w:val="bottom"/>
            <w:tcBorders>
              <w:top w:val="single" w:sz="8" w:color="0000FF"/>
            </w:tcBorders>
            <w:gridSpan w:val="2"/>
          </w:tcPr>
          <w:p>
            <w:pPr>
              <w:spacing w:after="0"/>
              <w:rPr>
                <w:sz w:val="18"/>
                <w:szCs w:val="18"/>
                <w:color w:val="auto"/>
              </w:rPr>
            </w:pPr>
          </w:p>
        </w:tc>
        <w:tc>
          <w:tcPr>
            <w:tcW w:w="764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32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color w:val="auto"/>
                <w:w w:val="92"/>
              </w:rPr>
              <w:t>PART II</w:t>
            </w:r>
          </w:p>
        </w:tc>
        <w:tc>
          <w:tcPr>
            <w:tcW w:w="5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0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20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2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righ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16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80" w:type="dxa"/>
            <w:vAlign w:val="bottom"/>
            <w:gridSpan w:val="14"/>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righ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374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32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color w:val="auto"/>
                <w:w w:val="96"/>
              </w:rPr>
              <w:t>PART III</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5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7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5"/>
              </w:rPr>
              <w:t>Executive Compensation</w:t>
            </w:r>
          </w:p>
        </w:tc>
        <w:tc>
          <w:tcPr>
            <w:tcW w:w="2280" w:type="dxa"/>
            <w:vAlign w:val="bottom"/>
            <w:tcBorders>
              <w:top w:val="single" w:sz="8" w:color="0000FF"/>
            </w:tcBorders>
            <w:gridSpan w:val="5"/>
          </w:tcPr>
          <w:p>
            <w:pPr>
              <w:spacing w:after="0"/>
              <w:rPr>
                <w:sz w:val="18"/>
                <w:szCs w:val="18"/>
                <w:color w:val="auto"/>
              </w:rPr>
            </w:pPr>
          </w:p>
        </w:tc>
        <w:tc>
          <w:tcPr>
            <w:tcW w:w="456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3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0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32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color w:val="auto"/>
                <w:w w:val="94"/>
              </w:rPr>
              <w:t>PART IV</w:t>
            </w:r>
          </w:p>
        </w:tc>
        <w:tc>
          <w:tcPr>
            <w:tcW w:w="5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84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7"/>
              </w:rPr>
              <w:t>Exhibits, Financial Statement Schedules</w:t>
            </w:r>
          </w:p>
        </w:tc>
        <w:tc>
          <w:tcPr>
            <w:tcW w:w="5740" w:type="dxa"/>
            <w:vAlign w:val="bottom"/>
            <w:gridSpan w:val="10"/>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that involve risks and uncertainties, including but not limited to the risks and uncertainties discussed under Item 1A. “Risk Factors,” Item 7. “Management’s Discussion and Analysis of Financial Condition and Results of Operations” and Item 1. “Business.”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Examples of forward-looking statements include all matters that are not historical facts, such as statements regarding expectations with respect to our results, traffic, unit volume and growth, planned restaurant closures and openings, strategic plan and other initiatives, projected capital expenditures and our financial condition and liquidity needs. These forward-looking statements are based on current expectations and assumptions that are subject to risks and uncertainties, which could cause our actual results to differ materially from those reflected in the forward-looking statements. Factors that could cause or contribute to such differences include, but are not limited to, those discussed in this Annual Report on Form 10-K, including the risks discussed in Part I, Item 1A “Risk Factors” and the trends discussed in Part II, Item 7 “Management's Discussion and Analysis of Financial Condition and Results of Operations,” and those discussed in other documents we file with the SEC. Given these risks and uncertainties, readers are cautioned not to place undue reliance on such forward-looking statements. These statements reflect our current views with respect to future events and are based on currently available operating, financial and competitive information. Unless required by United States federal securities laws, we do not intend to update any of these forward-looking statements to reflect circumstances or events that occur after the statement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Noodles &amp; Company is a restaurant concept offering lunch and dinner within the fast-casual segment of the restaurant industry. Our core offerings include noodle and pasta dishes, staples of many different cuisines, with the goal of delivering fresh ingredients and flavors from around the world under one roof. Today, our globally-inspired menu includes a wide variety of high quality, cooked-to-order dishes, including noodles and pasta, salads, soups and appetizers. As of December 30, 2025, we operated 423 restaurants in 31 states, which included 340 company locations and 83 franchise locations.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Noodles &amp; Company is a Delaware corporation that was organized in 2002. Noodles &amp; Company and its subsidiaries are sometimes referred to as “Noodles,” “we,” “us,” “our,” and the “Company” in this report. We refer to our Class A Common Stock, par value $0.01 per share, as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2026, we implemented a 1-for-8 reverse stock split of our Class A common stock, par value $0.01 per share (the “Reverse Stock Split”).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per share and share price amounts, whether from prior to, on, or after such date have been adjusted to reflect the Reverse Stock Split.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Concept and Business Strategy</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Noodles is a broadly appealing concept in the national fast-casual dining space. We are focused on offering customers flavorful, cooked-to-order dishes in a warm and welcoming environment at an attractive value. We offer approximately 20 globally-inspired and highly customizable dishes that can be enjoyed inside our restaurants, taken to-go, or delivered to our customers.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experience the Noodles brand through our company-owned and franchise operated locations, and digitally through our mobile app, website www.noodles.com and third-party delivery services. In 2025, approximately 59% of our sales were derived from digital ordering, where guests have the opportunity to select in restaurant quick pick-up or delivery to their home or office. We believe that the breadth of ways that consumers can access our brand, the variety inherent in our menu, and how well our food travels is a business strength in relation to consumer trends towards convenience.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the only national restaurant chains to offer a menu devoted to noodles across a variety of cuisines. We offer a wide variety of flavor profiles, combining classic noodle dishes with more contemporary options. We hand-chop fresh vegetables and prepare nine noodle varieties in-house every day. All of our dishes are cooked-to-order. Choice and customization have always been a great strength of the brand. This focus on culinary innovation allows us to prepare and serve high quality food and meet changing consumer expectations. In 2025, we completed one of the most comprehensive menu upgrades in our 30-year history with the launch of eight new and four upgraded entrées followed by the third quarter launch of the value-priced Delicious Duos option. This included reimagined favorites including more sauce, more vegetables, and more premium ingredients. Additionally, the new menu includes thoughtfully curated new dishes with bold flavors that addressed gaps in our existing menu offering. The recent introduction of the Delicious Duos platform is designed to drive more frequency as a value option.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our culture of enhanced customer service, we seek to hire, develop and retain individuals who will deliver prompt, attentive service by engaging customers the moment they enter our restaurants. Our training philosophy empowers both our restaurant managers and team members, also referred to as employees, to add a personal touch when engaging with our customers. Our restaurant managers are critical to our success, as we believe that their entrepreneurial spirit and outreach efforts build our brand in our communities.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Portfolio and Franchising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Restaurant Portfolio. </w:t>
      </w:r>
      <w:r>
        <w:rPr>
          <w:rFonts w:ascii="Times New Roman" w:cs="Times New Roman" w:eastAsia="Times New Roman" w:hAnsi="Times New Roman"/>
          <w:sz w:val="18"/>
          <w:szCs w:val="18"/>
          <w:color w:val="auto"/>
        </w:rPr>
        <w:t>As of December 30, 2025, we had 340 company-owned restaurants and 83 franchise restaurants in 31 states. Our restaurants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between 2,000 and 2,600 square feet and are located in end-cap, in-line or free-standing locations across a variety of suburban, collegiate and urban markets. We continue to analyze our restaurant prototype design to better facilitate future expansion and better meet the needs of the changing consumer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Restaurant Development. </w:t>
      </w:r>
      <w:r>
        <w:rPr>
          <w:rFonts w:ascii="Times New Roman" w:cs="Times New Roman" w:eastAsia="Times New Roman" w:hAnsi="Times New Roman"/>
          <w:sz w:val="18"/>
          <w:szCs w:val="18"/>
          <w:color w:val="auto"/>
        </w:rPr>
        <w:t>In 2025, we opened two new company-owned restaurants.</w:t>
      </w:r>
    </w:p>
    <w:p>
      <w:pPr>
        <w:spacing w:after="0" w:line="2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Certain Restaurant Closures. </w:t>
      </w:r>
      <w:r>
        <w:rPr>
          <w:rFonts w:ascii="Times New Roman" w:cs="Times New Roman" w:eastAsia="Times New Roman" w:hAnsi="Times New Roman"/>
          <w:sz w:val="18"/>
          <w:szCs w:val="18"/>
          <w:color w:val="auto"/>
        </w:rPr>
        <w:t>We closed 33 company-owned restaurants in 2025, most of which were either generating low or negative cash flows, at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approaching the expiration of their leases, or in trade areas that are not as well positioned for current consumer trends or a potential for a significant amount of sales transfer given strong off premise sales . We continue to analyze our restaurant portfolio and expect to close approximately 30 to 35 company-owned restaurants in 2026.</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Franchising. </w:t>
      </w:r>
      <w:r>
        <w:rPr>
          <w:rFonts w:ascii="Times New Roman" w:cs="Times New Roman" w:eastAsia="Times New Roman" w:hAnsi="Times New Roman"/>
          <w:sz w:val="18"/>
          <w:szCs w:val="18"/>
          <w:color w:val="auto"/>
        </w:rPr>
        <w:t>As of December 30, 2025, we had 83 franchise units in 20 states operated by 14 franchisees. In 2025, our franchisees did not open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restaurants and closed nine restaurants. In 2024, we sold six company-owned restaurants to a franchisee (“DND” and such sale, the “DND Sale”). As part of the DND Sale, DND entered into a six-year development plan commitment that includes development of ten new locations throughout Oregon and Washington. We have 10 area developers who have signed development agreements providing for the opening of 114 restaurants in their respective territories. We expect franchising to be a part of our growth strategy in future years, which could include refranchising existing markets. We look for experienced, well-capitalized franchise partners who are able to leverage their existing infrastructure and local knowledge in a manner that benefits both our franchisees and us. We expect to continue to offer development rights in markets where we do not intend to build company-owned restaurants. We may offer such rights to larger developers who commit to open 10 or more units, or to smaller developers who may commit to open fewer restaurants. We do not currently intend to offer single-unit franchises. We believe the strength and attractiveness of our brand will attract experienced and well-capitalized area developers.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Site Development and Expansion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our site selection and development process critical to our long-term success. We have used a combination of our own internal team and outside real estate consultants to locate, evaluate and negotiate new sites using various criteria. In making site selection decisions, we use several analytical tools designed to uncover the key site, demographic, business, retail, competitive and traffic characteristics that drive successful locations. We utilize third-party resources to assist with evaluating potential new sites. Once a location has been approved by our executive-level selection committee, we begin a design process to match the characteristics and feel of the location to the trade area. Due to increased construction and development costs and lower than expected returns on investment on recent new restaurant openings, we are currently not planning to open any new company operated restaurants in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Management and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Friendly Team Members. </w:t>
      </w:r>
      <w:r>
        <w:rPr>
          <w:rFonts w:ascii="Times New Roman" w:cs="Times New Roman" w:eastAsia="Times New Roman" w:hAnsi="Times New Roman"/>
          <w:sz w:val="18"/>
          <w:szCs w:val="18"/>
          <w:color w:val="auto"/>
        </w:rPr>
        <w:t>We believe our genuine, friendly team members separate us from our competitors. We value the individuality of our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which we believe results in a management, operations and training philosophy distinct from that of our competitors. We strive to hire team members who share our values, a passion for food, have a competitive spirit and will operate our restaurants in a way that is consistent with our high standards. We seek to hire individuals who will deliver prompt, attentive service by engaging customers at all points during the Noodles brand experience. We empower our team members to enrich the experience of our customers and directly address any concerns that may arise in a manner that contributes to the success of our business. We seek to create an environment that attracts, retains, and develops people that have passion and pride in the organization.</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Restaurant Management and Employees. </w:t>
      </w:r>
      <w:r>
        <w:rPr>
          <w:rFonts w:ascii="Times New Roman" w:cs="Times New Roman" w:eastAsia="Times New Roman" w:hAnsi="Times New Roman"/>
          <w:sz w:val="18"/>
          <w:szCs w:val="18"/>
          <w:color w:val="auto"/>
        </w:rPr>
        <w:t>Each restaurant typically has a general manager, an assistant general manager, multiple shift managers and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We cross-train our employees in an effort to create a depth of competency in our critical restaurant functions. To lead our restaurant management teams, we have area managers (each of whom is responsible for approximately five to 10 restaurants), as well as regional directors (each of whom is responsible for approximately 50 to 60 restaurants).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Training and Career Development. </w:t>
      </w:r>
      <w:r>
        <w:rPr>
          <w:rFonts w:ascii="Times New Roman" w:cs="Times New Roman" w:eastAsia="Times New Roman" w:hAnsi="Times New Roman"/>
          <w:sz w:val="18"/>
          <w:szCs w:val="18"/>
          <w:color w:val="auto"/>
        </w:rPr>
        <w:t>We believe that our training efforts create a culture of continuous learning and professional growth that allows our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to continue their career development with us. Within each restaurant, two to four team members are designated to lead the training efforts and maintain a consistent approach to team member development. We produce training materials that encourage individual contributions and participation from our team members while also requiring adherence to certain guidelines and procedures.</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Food Preparation and Quality. </w:t>
      </w:r>
      <w:r>
        <w:rPr>
          <w:rFonts w:ascii="Times New Roman" w:cs="Times New Roman" w:eastAsia="Times New Roman" w:hAnsi="Times New Roman"/>
          <w:sz w:val="18"/>
          <w:szCs w:val="18"/>
          <w:color w:val="auto"/>
        </w:rPr>
        <w:t>Our teams use classic professional cooking methods, including sautéing many of our vegetables, in full kitchens resembling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of full-service restaurants. All team members, including our restaurant managers, spend their</w:t>
      </w:r>
    </w:p>
    <w:p>
      <w:pPr>
        <w:spacing w:after="0" w:line="200" w:lineRule="exact"/>
        <w:rPr>
          <w:sz w:val="20"/>
          <w:szCs w:val="20"/>
          <w:color w:val="auto"/>
        </w:rPr>
      </w:pPr>
    </w:p>
    <w:p>
      <w:pPr>
        <w:spacing w:after="0" w:line="33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 several days working solely with food and learning these techniques, and we spend a significant amount of time training team members to prepare and cook our food properly.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our restaurants have exhibition-style kitchens. This design demonstrates our commitment to cooking fresh food in an accessible manner. We provide each customer with individual attention and make every effort to respond to customer suggestions and concerns in a personal and hospitable way.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require all of our dishes to be cooked to order at food safe temperatures or, in the case of salads, subject to our produce washing protocols, as food safety is a top priority for us. We have designed our food safety and quality assurance programs to maintain high standards for our food and food preparation procedures. Our director of quality assurance oversees robust restaurant and supplier audits based upon the potential food safety risk of each food. We also consider food safety and quality assurance when selecting our distributors and suppliers. Our suppliers are inspected by federal, state and local regulators or other reputable, qualified inspection services, which promotes compliance with all federal food safety and quality guidelines. We regularly inspect our suppliers to confirm that the ingredients we buy conform to our quality standards and that the prices we pay are competitive. We train our employees to pay detailed attention to food quality at every stage of the food preparation cycle, and we have developed a daily checklist that our employees are required to use to assess the freshness and quality of food supplies. Finally, we encourage our customers to provide feedback regarding our food quality so that we can identify and resolve problems or concerns as quickly as possible.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Marketing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strategic marketing efforts seek to drive sales and increase brand loyalty by highlighting our competitive strengths through a variety of channels including digital marketing, social media, public relations, guest engagement and local marketing. We focus on attributes that set us apart including the breadth and customization of our menu and our best-in-class convenience offerings, and ultimately use a data-driven approach to guide our strategy.</w:t>
      </w:r>
    </w:p>
    <w:p>
      <w:pPr>
        <w:spacing w:after="0" w:line="174" w:lineRule="exact"/>
        <w:rPr>
          <w:sz w:val="20"/>
          <w:szCs w:val="20"/>
          <w:color w:val="auto"/>
        </w:rPr>
      </w:pPr>
    </w:p>
    <w:p>
      <w:pPr>
        <w:jc w:val="both"/>
        <w:ind w:left="660" w:hanging="652"/>
        <w:spacing w:after="0" w:line="25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Our Contemporary Menu Offerings. </w:t>
      </w:r>
      <w:r>
        <w:rPr>
          <w:rFonts w:ascii="Times New Roman" w:cs="Times New Roman" w:eastAsia="Times New Roman" w:hAnsi="Times New Roman"/>
          <w:sz w:val="18"/>
          <w:szCs w:val="18"/>
          <w:color w:val="auto"/>
        </w:rPr>
        <w:t>At the heart of our marketing is our food and the desire to craft harmonious dishes that reflect the modern,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borderless flavors and celebrate fresh, cooked to order, real food. We focus some of our marketing efforts on new menu offerings to broaden our appeal to our customers and we continue to invest in high quality ingredients and portions that improve the taste and appearance of our dishes. A disciplined pipeline of menu innovation and limited-time offers serves as a catalyst for incremental traffic, increased frequency, and improved comparable restaurant performance, while reinforcing brand relevance in a competitive category. At the same time, we showcase the dishes that continue to be loved by many.</w:t>
      </w:r>
    </w:p>
    <w:p>
      <w:pPr>
        <w:spacing w:after="0" w:line="182" w:lineRule="exact"/>
        <w:rPr>
          <w:rFonts w:ascii="Times New Roman" w:cs="Times New Roman" w:eastAsia="Times New Roman" w:hAnsi="Times New Roman"/>
          <w:sz w:val="18"/>
          <w:szCs w:val="18"/>
          <w:i w:val="1"/>
          <w:iCs w:val="1"/>
          <w:color w:val="auto"/>
        </w:rPr>
      </w:pPr>
    </w:p>
    <w:p>
      <w:pPr>
        <w:ind w:left="660" w:hanging="652"/>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Brand Platform</w:t>
      </w:r>
      <w:r>
        <w:rPr>
          <w:rFonts w:ascii="Times New Roman" w:cs="Times New Roman" w:eastAsia="Times New Roman" w:hAnsi="Times New Roman"/>
          <w:sz w:val="18"/>
          <w:szCs w:val="18"/>
          <w:color w:val="auto"/>
        </w:rPr>
        <w:t>. From time to time, we launch new brand platforms to enhance our brand awareness, introduce Noodles to new guests and remind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guests what sets Noodles apart.</w:t>
      </w:r>
    </w:p>
    <w:p>
      <w:pPr>
        <w:spacing w:after="0" w:line="158" w:lineRule="exact"/>
        <w:rPr>
          <w:rFonts w:ascii="Times New Roman" w:cs="Times New Roman" w:eastAsia="Times New Roman" w:hAnsi="Times New Roman"/>
          <w:sz w:val="18"/>
          <w:szCs w:val="18"/>
          <w:i w:val="1"/>
          <w:iCs w:val="1"/>
          <w:color w:val="auto"/>
        </w:rPr>
      </w:pPr>
    </w:p>
    <w:p>
      <w:pPr>
        <w:jc w:val="both"/>
        <w:ind w:left="660" w:hanging="652"/>
        <w:spacing w:after="0" w:line="26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Loyalty Program.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Noodles Rewards </w:t>
      </w:r>
      <w:r>
        <w:rPr>
          <w:rFonts w:ascii="Times New Roman" w:cs="Times New Roman" w:eastAsia="Times New Roman" w:hAnsi="Times New Roman"/>
          <w:sz w:val="18"/>
          <w:szCs w:val="18"/>
          <w:color w:val="auto"/>
        </w:rPr>
        <w:t>program has over 7 million members. The Rewards program provides us with guest data that can be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target and personalize offers and communications. The program allows guests to accumulate reward points associated with each purchase that can be redeemed for offers such as free bowls, free side dishes, discounts, and free delivery. Rewards members are typically the first to learn about new offerings, and in some cases are provided exclusive access to certain menu items for a limited time.</w:t>
      </w:r>
    </w:p>
    <w:p>
      <w:pPr>
        <w:spacing w:after="0" w:line="179" w:lineRule="exact"/>
        <w:rPr>
          <w:rFonts w:ascii="Times New Roman" w:cs="Times New Roman" w:eastAsia="Times New Roman" w:hAnsi="Times New Roman"/>
          <w:sz w:val="18"/>
          <w:szCs w:val="18"/>
          <w:i w:val="1"/>
          <w:iCs w:val="1"/>
          <w:color w:val="auto"/>
        </w:rPr>
      </w:pPr>
    </w:p>
    <w:p>
      <w:pPr>
        <w:jc w:val="both"/>
        <w:ind w:left="660" w:hanging="652"/>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Business. </w:t>
      </w:r>
      <w:r>
        <w:rPr>
          <w:rFonts w:ascii="Times New Roman" w:cs="Times New Roman" w:eastAsia="Times New Roman" w:hAnsi="Times New Roman"/>
          <w:sz w:val="18"/>
          <w:szCs w:val="18"/>
          <w:color w:val="auto"/>
        </w:rPr>
        <w:t>We continue to make strategic investments in our digital capabilities to improve the overall guest experience and increase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sales. Our digital platforms, inclusive of our website and our app, offer guests a differentiated and seamless ordering experience and make it convenient for guests to purchase their favorites. We use our digital platforms to increase brand engagement and usage of the Rewards program. Additionally, we have expanded our third-party partnerships to increase our brand’s reach among guests who primarily place orders through these delivery providers. We invest in digital advertising to advertise specific product categories, highlight convenient off-premise channel offerings, communicate rewards and encourage guest action and long-term guest loyalty. We leverage zero-party, first-party and third-party data to drive effective and efficient advertising spend, helping us to improve the return on our investment. We have installed digital menu boards across all company-owned locations that allow us to showcase key menu features, target guest communication, enhance our pricing capabilities and increase flexibility for culinary testing. In addition, all franchise locations are committed to have digital menu boards by September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strength of our workforce is one of the significant contributors to our success as a brand. This is largely attributed to our team members who strive every day to create an environment for our guests where they feel welcomed and cared for. Therefore, one of our strategic priorities is to develop people as a differentiator, including investing in the following areas of focus: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Oversight and Management. </w:t>
      </w:r>
      <w:r>
        <w:rPr>
          <w:rFonts w:ascii="Times New Roman" w:cs="Times New Roman" w:eastAsia="Times New Roman" w:hAnsi="Times New Roman"/>
          <w:sz w:val="18"/>
          <w:szCs w:val="18"/>
          <w:color w:val="auto"/>
        </w:rPr>
        <w:t>We value the diversity of our team members, as well as the diversity of our guests and communities, and believe in creating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environment that promotes employment opportunities across a broad spectrum of backgrounds and cultures. Our Human Resources department is tasked with managing employment-related matters, including recruiting and hiring, onboarding and training, compensation and benefit planning, organizational design, performance management, succession planning and talent development. Our management and cross-functional teams also work closely to evaluate human capital management matters such as team member retention, workplace safety, harassment and bullying, as well as to implement measures to mitigate these risks.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and Board committees provide oversight on certain human capital matters. Our Compensation Committee, with input from members of our management team and a third-party compensation consultant, who provides benchmarked data, has responsibility for approving annually certain elements of compensation, including our incentive compensation plans and equity-based plans. Management provides input into the design of our incentive compensation programs to confirm that these programs support the Company’s business objectives and strategic priorities. The annual business plan initially established by our management, and approved by our Board, is an important element of our Compensation Committee’s decision-making process for performance measures and goals.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Noodles &amp; Company, we prioritize investing in our workforce by offering industry competitive base wages and salaries, performance-based cash and equity incentives, and competitive benefits that enhance the well-being, career growth, and financial security of our team members. Our quarterly and annual performance-based bonus plans are designed to align compensation with company success by rewarding team members for achieving key financial and operational performance metrics. Additionally, eligible team members receive long-term incentives—such as restricted stock units (RSUs) and performance stock units (PSUs)—that align their interests with long-term shareholder value creation.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Beyond compensation, Noodles &amp; Company provides a competitive and targeted benefits package designed to support the financial, physical, and mental well-being of our team members. Our offerings include medical, dental, and vision insurance, along with mental health support and wellness programs to promote overall well-being. To enhance financial security, we offer a 401(k) program with a company match, an Employee Stock Purchase Plan (the “ESPP” plan), early access to earned wages, a deferred compensation plan for eligible positions, and short-term and long-term disability coverage for eligible positions.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support team member engagement and work-life balance with paid time off, family-planning benefits, immigration support, education assistance, and meal discounts. Our Employee Assistance Program (EAP) provides valuable resources, including financial planning support and legal assistance, providing our team members access to the tools they need for personal and professional success. We are committed to fostering career growth by offering leadership development programs, skills training, and succession planning to prepare team members for higher-level roles. Our goal of being a best-in-class workplace has earned us continued recognition, including being named one of Forbes’ Best Employers for Diversity for the fifth consecutive year in 2025.</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further demonstrate our commitment to supporting our team members, we established the Noodles &amp; Company Foundation to provide assistance in times of need and invest in their futures. Since its inception, the Foundation has granted over $700,000 in emergency assistance and more than $600,000 in scholarships to help team members and their families achieve their educational goals. Created by and for our team members, the Foundation reinforces our dedication to fostering a resilient, empowered workforce and giving back to the communities we serve. Looking ahead, we are planning to continue to elevate the team member experience by enhancing our talent development, workplace culture, and innovative total rewards programs that differentiate Noodles &amp; Company as an employer of choice in our industry.</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30, 2025, we had approximately 6,500 employees, including approximately 500 salaried employees and approximately 6,000 hourly employees. None of our employees are unionized or covered by a collective bargaining agreement, and we consider our current employee relations to be good.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Maintaining a high degree of quality in our restaurants depends in part on our ability to acquire fresh ingredients and other necessary supplies that meet our specifications from reliable suppliers. We carefully select suppliers based on quality and their understanding of our brand, and we seek to develop mutually beneficial long-term relationships with them. We work closely with our suppliers and use a mix of forward, fixed and formula pricing protocols. In some cases, we have made efforts to increase the number of suppliers for our ingredients, which we believe can help mitigate pricing volatility. We monitor industry news, trade issues, weather, crises and other world events that may affect supply prices.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Seasonality/Quarterly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winter and holiday traffic, and higher in the second and third quarters. Other factors also have a seasonal effect on our results. For example, restaurants located near colleges and universities generally do more business during the academic year. Seasonal factors, however, might be moderated or outweighed by other factors that may influence our quarterly results, such as worldwide health pandemics, fluctuations in food or packaging costs, or the timing of menu price increases or promotional activities and other marketing initiatives.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quarterly results are also affected by other factors such as the amount and timing of incentive-based compensation expense and related tax rate impacts, impairment charges and non-operating costs, timing of marketing or promotional expenses, the number and timing of new restaurants opened in a quarter, and the closure of restaurants. Accordingly, results for a particular quarter are not necessarily indicative of results to be expected for any other quarter or for any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from the casual dining, quick-service and fast-casual segments of the restaurant industry. These segments are highly competitive with respect to taste, price, food quality and presentation, service, location and the ambiance and condition of each restaurant, among other things. Our competition includes a variety of locally owned restaurants and national and regional chains who offer dine-in, carry-out and delivery services. Many of our competitors have existed longer and have a more established market presence with substantially greater financial, marketing, personnel and other resources than we have. Among our competitors are a number of multi-unit, multi-market fast-casual restaurant concepts, some of which are expanding nationally. We will continue to face competition from these concepts and new competitors that strive to compete within our market segments.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face competition from firms outside the restaurant industry, such as grocery stores and home meal replacement services, who sell prepared meals for takeout and delivery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Trademarks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own a number of trademarks and service marks registered or pending with the U.S. Patent and Trademark Office. We also have certain trademarks registered in certain foreign countries. In addition, we own the internet domain name </w:t>
      </w:r>
      <w:r>
        <w:rPr>
          <w:rFonts w:ascii="Times New Roman" w:cs="Times New Roman" w:eastAsia="Times New Roman" w:hAnsi="Times New Roman"/>
          <w:sz w:val="18"/>
          <w:szCs w:val="18"/>
          <w:i w:val="1"/>
          <w:iCs w:val="1"/>
          <w:color w:val="auto"/>
        </w:rPr>
        <w:t>www.noodles.com</w:t>
      </w:r>
      <w:r>
        <w:rPr>
          <w:rFonts w:ascii="Times New Roman" w:cs="Times New Roman" w:eastAsia="Times New Roman" w:hAnsi="Times New Roman"/>
          <w:sz w:val="18"/>
          <w:szCs w:val="18"/>
          <w:color w:val="auto"/>
        </w:rPr>
        <w:t>. The information on, or that can be accessed through, our website is not part of this report. We believe that our trademarks, service marks and other intellectual property rights have significant value and are important to the marketing of our brand, and it is our policy to protect and defend vigorously our rights to such intellectual property.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and varied federal, state and local government regulation, including regulations relating to public and occupational health and safety, sanitation and fire prevention. We operate each of our restaurants in accordance with standards and procedures designed to comply with applicable codes and regulations. However, an inability to obtain or retain health department or other licenses could adversely affect our operations. Although we have not experienced, and do not anticipate, any significant difficulties, delays or failures in obtaining required licenses, permits or approvals, any such problem could delay or prevent the opening of, or adversely impact the viability of, a particular restaurant or group of restaurants.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concerning waste disposal, pollution, protection of the environment and the presence, discharge, storage, handling, release and disposal of, or exposure to, hazardous or toxic substances (“environmental laws”). These environmental laws can provide for significant fines and penalties for non-compliance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liabilities for remediation, sometimes without regard to whether the owner or operator of the property knew of, or was responsible for, the release or presence of the hazardous or toxic substances. Third parties may also make claims against owners or operators of properties for personal injuries and property damage associated with releases of, or actual or alleged exposure to, such substances. We are not aware of any environmental laws that will materially affect our earnings or competitive position, or result in material capital expenditures relating to our restaurants. However, we cannot predict what environmental laws will be enacted in the future, how existing or future environmental laws will be administered, interpreted or enforced, or the amount of future expenditures that we may need to make to comply with, or to satisfy claims relating to, environmental laws. It is possible that we will become subject to environmental liabilities at our properties, and any such liabilities could materially affect our business, financial condition or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 variety of applications and systems to securely manage the flow of information within each restaurant, and within our restaurant support center infrastructure. All of our restaurants use computerized management information systems, which we believe are scalable to support any future growth plans. We use point-of-sale (“POS”) computers designed specifically for the restaurant industry. Our POS system provides a touch screen interface, a graphical order confirmation display and integrated, high-speed credit card and gift card processing. Our online ordering system allows customers to place orders online or through our mobile app. Orders taken remotely are routed to the point-of-sale system based on the time of customer order pickup. The POS system is used to collect daily transaction data, which generates information about daily sales, product mix and average check that we actively analyze. All products sold and prices at our company-owned restaurants are programmed into the system from our restaurant support center. We also continue to modernize and make investments in our information technology networks and infrastructure, specifically in our physical and technological security measures, to anticipate cyber-attacks and defend against breaches and to provide improved control, security and scalability. Enhancing the security of our financial data, customer information and other personal information is a high priority for us.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in-restaurant back office computer system is designed to assist in the management of our restaurants and provide labor and food cost management tools. These tools provide restaurant operations management and our restaurant support center quick access to detailed business data and reduces restaurant managers’ administrative time. The system provides our restaurant managers the ability to submit orders electronically with our distribution network. The system also supplies sales, bank deposit and variance data to our finance department on a daily basis. We use this data to generate daily sales information and weekly consolidated reports regarding sales and other key measures.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Franchisees use similar point of sale systems and are required to report sales on a daily basis through an online reporting network and submit their restaurant-level financial statements on a quarterly and annual basis. We also offer certain restaurant technology support services to our franchisees.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as a single accounting segment. Financial information related to our business is included in Item 8 of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www.noodles.com</w:t>
      </w:r>
      <w:r>
        <w:rPr>
          <w:rFonts w:ascii="Times New Roman" w:cs="Times New Roman" w:eastAsia="Times New Roman" w:hAnsi="Times New Roman"/>
          <w:sz w:val="18"/>
          <w:szCs w:val="18"/>
          <w:color w:val="auto"/>
        </w:rPr>
        <w:t xml:space="preserve">, including an investor relations section at </w:t>
      </w:r>
      <w:r>
        <w:rPr>
          <w:rFonts w:ascii="Times New Roman" w:cs="Times New Roman" w:eastAsia="Times New Roman" w:hAnsi="Times New Roman"/>
          <w:sz w:val="18"/>
          <w:szCs w:val="18"/>
          <w:i w:val="1"/>
          <w:iCs w:val="1"/>
          <w:color w:val="auto"/>
        </w:rPr>
        <w:t>investor.noodles.com</w:t>
      </w:r>
      <w:r>
        <w:rPr>
          <w:rFonts w:ascii="Times New Roman" w:cs="Times New Roman" w:eastAsia="Times New Roman" w:hAnsi="Times New Roman"/>
          <w:sz w:val="18"/>
          <w:szCs w:val="18"/>
          <w:color w:val="auto"/>
        </w:rPr>
        <w:t>, on which we routinely post important information, such as webcasts of quarterly earnings calls, and any related materials. You may access our Annual Reports on Form 10-K, Quarterly Reports on Form 10-Q, Current Reports on Form 8-K, amendments to those reports and other reports relating to us that are filed with or furnished to the SEC, free of charge in the investor relations section of our website as soon as reasonably practicable after such material is electronically filed with or furnished to the SEC.</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contents of the websites mentioned herein are not incorporated into and should not be considered a part of this report. The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You should carefully consider the risks described below, as well as the other information in this Annual Report on Form 10-K, including our financial statements and the related notes and “Management’s Discussion and Analysis of Financial Condition and Results of Operations,” and our other filings with the Securities and Exchange Commission, when considering an investment in our common stock. If any of the following risks occur, our business, financial condition, results of operations and future growth prospects could be materially and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our operational, strategic or financial goals.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pursue a number of financial, operational and strategic goals, including through our Strategic Review (as defined below). Our strategies are designed to, among other objectives, improve restaurant operations and increase our restaurant revenue, comparable restaurant sales, net income and adjusted EBITDA, as defined in management’s discussion and analysis. However, we may not be successful in achieving these goals in part or at all.</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strategies and initiatives include innovating our menu offerings, enhancing our menu structure and layout, improving operational effectiveness and strengthening our financial foundation, optimizing our catering offerings, refining our pricing strategies, better understanding and tailoring communications to customers through our customer data platform and digital ecosystem, introducing new technology and equipment, and continuing to focus on manager selection, training and the development of our teams. These strategies and initiatives are in various stages of testing, evaluation and implementation, and we expect them to improve our results of operations and financial condition. Our continued menu innovation and limited time offerings, may not achieve the results we desire. Further, customers may not favor new menu offerings and pricing or may not find off-premise initiatives appealing, and our efforts to increase our sales growth and improve our offerings may be unsuccessful. Additionally, our operational initiatives may be ineffective at reducing costs or may reduce the quality of the customer experience. Any failure of our new initiatives could materially adversely affect our business, financial condition, results of operations or cash flows.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strategic and operational goals are designed to improve our results of operations, including restaurant revenue and profitability. The level of comparable restaurant sales, which represent the change in year-over-year sales for restaurants open for at least 18 full periods, affects our restaurant revenue growth and will continue to be a critical factor affecting profitability. Our ability to increase comparable restaurant sales depends in part on our ability to successfully implement our initiatives, including increasing guest traffic. It is possible that such initiatives will not be successful, that we will not achieve our desired comparable restaurant sales growth or that the change in comparable restaurant sales could be negative, which may cause a decrease in restaurant revenue and profitability that could materially adversely affect our business, financial condition, results of operations or cash flows. For example, in 2023 and 2024 we experienced a decline in same store sales, as well as an increased loss from operations and, during 2025, while we experienced higher comparable sales, we experienced lower operating income.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review of strategic alternatives or any initiatives or transactions that we pursue will result in additional stockholder value or that the process or any actions that we take will not have an adverse impact on our business.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3, 2025, we announced that our Board of Directors had initiated a review of strategic alternatives in order to explore ways to maximize stockholder value (“Strategic Review”). The scope of the review was set to include a range of potential strategic alternatives, including a refinancing of existing indebtedness or sale of all or part of the business, and/or other strategic or financial transactions. The process of reviewing strategic alternatives has been and may continue to be time consuming and may be disruptive to our business operations and, if we are unable to effectively manage the process, our business, financial condition and results of operations could be adversely affected. We may incur substantial expenses associated with a potential strategic alternative. This process could also increase our exposure to potential litigation. There can be no assurance that any suitable transaction will be identified or that any transaction that we may pursue will provide greater value to our stockholders than that reflected in the current price of our common stock or otherwise be successfully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if we are able to access additional liquidity, agreements governing any borrowing arrangement could contain covenants restricting our operations.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higher interest rates, especially given the current inflationary environment, and restrictive covenants relating to our capital-raising activities and other financial and operational matters, which might make it more difficult for us to obtain additional capital and to pursue business opportunities. Moreover, if we issue new debt securities, the debt holders would have rights senior to common stockholders to make claims on our assets.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Until the review process is concluded, perceived uncertainties related to our future may result in volatility in the market price of our common stock and may make it more difficult for us to attract and retain qualified personnel and business partners.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political and economic conditions, including higher inflationary pressures and continued elevated interest rates, may reduce customer demand and increase our costs.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the restaurant industry in general depend on consumer discretionary spending. Changes in market conditions, including negative economic conditions resulting from inflation, increased interest rates, recessionary economic cycles, changes in trade policies, including tariffs or other trade restrictions or the threat of such actions, stock market volatility, war, terrorist activities, global economic occurrences or trends or other geo-political events, may result in decreased consumer confidence, increased cost of consumer credit and ultimately reduced consumer disposable income. In turn, consumers may make changes to their discretionary spending behavior in a way that negatively affects our business, including dining out less frequently, reducing the amount they spend while dining out, or choosing to eat at other lower priced restaurants. Additionally, these changes in market conditions may impact our development pipeline, including the availability of new sites, increased construction costs and availability of contract labor.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economic conditions, particularly with respect to inflationary pressures, may result in increased interest rates persisting for longer than expected and/or further increases in interest rates, labor shortages, and supply chain disruptions. These inflationary pressures may also increase our costs, including our labor and raw material costs, utilities, and our cost of borrowing, and we may not be able to fully offset such higher costs through price increases. For example, in 2023 and 2024, we executed amendments to our credit agreement, which resulted in increased borrowing rates.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customer demand were to decrease or our costs were to increase without a corresponding increase in our prices, our profitability would decline. Moreover, as a result of such economic conditions, we may record additional asset impairment charges, implement additional restaurant closures, or slow our planned growth. Any of these economic factors may materially adversely affect our business,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other restaurant companies could adversely affect us.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competition from the casual dining, fast-casual and quick-service segments of the restaurant industry. These segments are highly competitive with respect to taste, price, food quality and presentation, service, location and the ambiance and condition of each restaurant, among other things. Our competition includes a variety of locally owned restaurants and national and regional chains who offer dine-in, carry-out and delivery services. Many of our competitors have existed longer and have a more established market presence with substantially greater financial, marketing, personnel and other resources than we have. Among our competitors are a number of multi-unit, multi-market fast-casual restaurant concepts, some of which are expanding nationally. We continually face competition from these concepts and new competitors that strive to compete with our market segments. For example, additional competitive pressures come from the deli sections and in-store cafés of grocery store chains, as well as from convenience stores and online meal preparation sites. These competitors may have, among other things, lower operating costs, food offerings more responsive to consumer preferences, better locations and facilities, more experienced management, more effective marketing and more efficient operations.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our competitors compete by offering menu items that are specifically identified as low in carbohydrates, gluten-free, or rich in protein. Many of our competitors emphasize lower-cost value options or meal packages and as such, the competitive environment has resulted in more value oriented offerings, promotions or discounts, including from casual restaurant chains, which we have responded to by the introduction of our Delicious Duos offering in 2025. Any of these competitive factors may materially adversely affect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programs may not be successful.</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incur costs and expend other resources in our marketing efforts on new menu offerings, advertising campaigns, raising brand awareness and to attract and retain customers. These initiatives may not be successful, resulting in expenses incurred without the benefit of higher revenues. Further, if our marketing and advertising strategies are not successful, we may be forced to engage in additional promotional activities to attract and retain customers, including offers for discounted food, and any such additional promotional activities could adversely impact our profitability. Additionally, many of our competitors have more marketing resources and we may not be able to successfully compete. If our competitors increase spending on marketing, or if our marketing funds decrease for any reason, or if our advertising and promotions are less effective than those of our competitors, our financial performance could be materially affected.</w:t>
      </w:r>
    </w:p>
    <w:p>
      <w:pPr>
        <w:spacing w:after="0" w:line="2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Many of our competitors are devoting increased resources to their social media marketing programs. Social media can be challenging because it reaches a broad audience with an ability to respond or react, in near real time. In addition, social media can facilitate the improper disclosure of proprietary information, personally identifiable information, or inaccurate information. As a result, if we do not appropriately manage our social media strategies, our marketing efforts in this area may not be successful and could damage our reputation, negatively impacting our restaurant sales and financial performance.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relating to one or more of our restaurants, including our franchised restaurants, could reduce sales at some or all of our other restaurants.</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success is dependent in part upon our ability to maintain and enhance the value of our brand, consumers’ connection to our brand and positive relationships with our franchisees. We may be faced with negative publicity relating to food quality, restaurant facilities, customer complaints or litigation alleging illness or injury, health inspection scores, integrity of our or our suppliers’ food processing, employee relationships or other matters, regardless of whether the allegations are valid or whether we are held to be responsible. The negative impact of adverse publicity relating to one restaurant may extend far beyond the restaurant or franchise involved to affect some or all of our other restaurants. The risk of negative publicity is particularly great with respect to our franchised restaurants because we are limited in the manner in which we can regulate them, especially on a real-time basis. Adverse information posted on social media platforms can quickly reach a wide audience and resulting harm to our reputation may be immediate, without affording us an opportunity to correct or otherwise respond to the information. It is challenging to monitor and anticipate developments on social media in order to respond in an effective and timely manner. As a result, negative publicity generated by such incidents may be amplified by the use of social media. A similar risk exists with respect to unrelated food service businesses, if consumers associate those businesses with our own operations or are concerned with the food safety of the broader restaurant industry.</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Additionally, employee claims against us based on, among other things, wage and hour violations, discrimination, harassment or wrongful termination may also create negative publicity that could materially adversely affect us and divert our financial and management resources that would otherwise be used to benefit the future performance of our operations. A significant increase in the number of these claims or an increase in the number or scope of successful claims could materially adversely affect our business, financial condition, results of operations or cash flows. Consumer demand for our products and our brand’s value could diminish significantly if any such incidents or other matters create negative publicity or otherwise erode consumer confidence in us or our products, or in the restaurant industry as a whole, which would likely result in lower sales and could materially adversely affect our business, financial condition, results of operations or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concerns could have an adverse effect on our business.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guarantee that our internal controls and training will be fully effective in preventing all food safety issues at our restaurants, including any occurrences of foodborne illnesses such as E. coli, Hepatitis A, listeria, norovirus and salmonella. The risk of illnesses associated with our food might also increase in connection with the expansion of our catering and delivery businesses or other situations in which our food is served or delivered in conditions that we cannot control. Furthermore, we and our franchisees rely on third-party vendors throughout our supply chain, making it difficult to monitor food safety compliance and increasing the risk that foodborne illness would affect multiple locations rather than a single restaurant. Some foodborne illness incidents could be caused by third-party vendors and transporters outside of our control. New illnesses resistant to our current precautions may develop in the future, or diseases with long incubation periods could arise, that could give rise to claims or allegations on a retroactive basis. One or more instances of foodborne illness in any of our restaurants or markets or related to food products we sell could negatively affect our restaurant sales nationwide if highly publicized on national media outlets or through social media. This risk exists even if it were later determined that the illness was wrongly attributed to us or one of our restaurants.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other fast-casual restaurant chains have experienced incidents related to foodborne illnesses, including E. coli,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listeria and norovirus outbreaks that have had a material adverse effect on their operations. These incidents at other restaurants could cause some customers to have a negative perception of fast-casual concepts generally, which can negatively affect our restaurants. The occurrence of a similar incident at one or more of our restaurants, or negative publicity or public speculation about an incident, could materially adversely affect our business, financial condition, results of operations or cash flows.</w:t>
      </w:r>
    </w:p>
    <w:p>
      <w:pPr>
        <w:spacing w:after="0" w:line="203" w:lineRule="exact"/>
        <w:rPr>
          <w:sz w:val="20"/>
          <w:szCs w:val="20"/>
          <w:color w:val="auto"/>
        </w:rPr>
      </w:pPr>
    </w:p>
    <w:p>
      <w:pPr>
        <w:ind w:right="2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raise menu prices or revise our pricing structure, which may not be sufficient to offset rising costs or which could decrease customer demand.</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utilized, and expect to continue utilizing, menu price increases to help offset cost increases, including increased cost for food ingredients and supplies, wages, employee benefits, insurance costs, construction, utilities and other key operating costs. If our selection and amount of menu price increases are not accepted by consumers and reduce guest traffic, or are insufficient to counter increased costs, our financial results could be negatively affected. For example in 2023, primarily in response to inflationary food, labor and operating costs, we made certain menu price increases, which we believe negatively affected our traffic. In 2025, we made certain menu price increases that did not negatively impact our traffic. We cannot provide assurance that menu price increases will not deter guests from visiting our restaurants, reduce the frequency of their visits or affect their purchasing decisions.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Unexpected events have impacted and may in the future impact our business,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occurrence of one or more unexpected events, including war, acts of terrorism, cybersecurity incidents, pandemics, civil unrest, natural disasters and other forms of severe weather in the United States or in other locations in which our suppliers are located, have affected and could in the future affect our operations and financial performance. It is possible that weather conditions may impact our business more than other businesses in our industry because of the significant concentration of our restaurants in the Upper Midwest, Rocky Mountain and Mid-Atlantic states. Such events could affect our guest traffic, sales and operating costs and/or cause complete or partial closure of one or more distribution centers, cause temporary or long-term disruption or inoperability of our information technology systems (including our digital platform), temporary or long-term disruptions in our delivery channel or the supply of products from suppliers, and disruption and delay in the transport of products, any of which may have a material adverse effect on our business, financial condition, and results of operations. Existing insurance coverage may not provide protection from all the costs that may arise from such events.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long-term non-cancellable leases and the costs of exiting leases at restaurants we have closed or may close in the future may be greater than we estimate or could be greater than the funds we raise to address closure costs.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own any real property. Payments under our operating leases account for a significant portion of our operating expenses and we expect any new restaurants we open in the future will similarly be leased. Our leases generally have an initial term of ten years and generally can be extended only in five-year increments (at increased rates). All of our leases require a fixed annual rent, although some require the payment of additional rent if restaurant sales exceed a negotiated amount. Generally, our leases are “net” leases, which require us to pay all of the cost of insurance, taxes, maintenance and utilities. We generally cannot cancel these leases. Additional sites that we may lease are likely to be subject to similar long-term non-cancelable leases. In connection with closing restaurants, we may nonetheless be committed to perform our obligations under the applicable lease including, among other things, paying the base rent for the balance of the lease term. In 2025, we performed a detailed portfolio review that identified approximately 33 restaurants that we evaluated for potential closure before the end of their lease terms. In addition, as each of our leases expires, we may fail to negotiate renewals, either on commercially acceptable terms or at all, which could cause us to pay increased occupancy costs or to close restaurants in desirable locations.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Opening and operating new restaurants entails numerous risks and uncertainties.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element of our long-term operational strategy is the opening of new restaurants and operating those restaurants on a profitable basis with an acceptable return on investment. In 2025, we opened two company-owned restaurants and closed 33 company-owned restaurants and our franchisees did not open any new restaurants and closed nine restaurants.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Opening new restaurants presents numerous risks and uncertainties. We may not successfully identify an appropriate location or be able to open new restaurants as quickly as planned. In the past, we have experienced delays in opening some restaurants due to adverse weather and permitting delays. Delays or failures in opening new restaurants could occur in the future and could materially adversely affect our business strategy and our expected results.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successfully open new restaurants also depends on other factors, including: site selection; local economic trends and demographics; anticipated development near our new restaurants; negotiating leases with acceptable terms; identifying, hiring and training qualified employees; the state of the labor market in each local market; managing construction and development costs; avoiding the impact of inclement weather, natural disasters and other calamities; obtaining construction materials and labor at acceptable costs; securing required governmental approvals, permits and licenses; generating sufficient returns on our new restaurant investments; and accessing capital. The selection of target markets for expansion is challenging. We also must locate and secure appropriate sites for new restaurants, which is one of our biggest challenges. There are numerous factors involved in identifying and securing an appropriate site, including, among others: identification and availability of locations; competition; financial conditions affecting developers and potential landlords; managing construction and development costs; developers and potential landlords obtaining licenses or permits for development projects on a timely basis; proximity of potential development sites to an existing location; availability of acceptable lease arrangements; and obtaining construction materials and labor at acceptable costs.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our existing restaurants could also make it more difficult to build our consumer base for a new restaurant in the same market. Our core business strategy does not entail opening new restaurants that we believe will materially affect sales at our existing restaurants, but in the future we may selectively open new restaurants in and around areas of existing restaurants that are operating at or near capacity to effectively serve our customers. Sales cannibalization between our restaurants may become significant in the future as we continue to expand our operations and could affect our sales growth, which could, in turn, materially adversely affect our business, financial condition, results of operations or cash flows.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paused new company-owned restaurant growth in 2026 due to lower than expected rates of return on investment for our recently opened restaurants as well as increased construction and development costs. We continue to enhance our operating model and are researching a new prototype that would address costs, as well as changing consumer behaviors.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restaurants, once opened, may not be profitable.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restaurants may not be profitable, their sales performance may not follow historical patterns, and/or our average restaurant sales and comparable restaurant sales may underperform our expectations. In addition, the construction costs supporting the new restaurant openings may be higher than historical averages, placing a higher profitability threshold to generate an attractive cash-on-cash return. Our ability to operate new restaurants profitably, maintain an attractive cash-on-cash return, and increase average restaurant sales and comparable restaurant sales will depend on many factors, some of which are beyond our control, including: consumer awareness, understanding and support of our brand; general economic conditions, construction cost inflation, local labor costs and availability and prices we pay for the food products and other supplies we use; changes in consumer preferences; competition; temporary and permanent site characteristics of new restaurants; and changes in government regulation.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new restaurants do not perform as planned, our business and future prospects could be harmed. In addition, if we are unable to achieve our expected average restaurant sales, our business, financial condition, results of operations or cash flows could be materially adversely affected. The return on investment on our recent new restaurant openings have not been as expected. As a result, we have paused our new restaurant development pipeline for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Employees, Executives and Franchisees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difficulties in hiring and retaining qualified employees.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success depends on the efforts of our employees and our ability to hire, motivate and retain qualified employees. We have taken strategic steps to improve the retention of our labor force, which has improved sequentially since peak levels in mid-2022 and turnover levels are now at lower levels and wage inflation is also moderating. There may be a small supply of qualified individuals in some of the communities in which we operate, and competition in these communities for qualified individuals could require us to pay higher wages and provide greater benefits. We devote significant resources to training our employees and strive to reduce turnover in order to keep qualified employees and better realize our investment in training new employees. However, turnover among our restaurant employees may increase. Failure to hire and retain qualified employees could impact our financial performance by increasing our training and labor costs and reducing the quality of our customers’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recruit, develop and retain effective leaders or the loss or shortage of personnel with key capacities and skills could impact our strategic growth plans and jeopardize our ability to meet our business performance expectations and growth targets.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ability to continue to grow our business depends substantially on the contributions and abilities of our executive leadership team and other key management personnel. Changes in senior management could expose us to significant changes in strategic direction and initiatives. In August 2025, we promoted our President and Chief Operating Officer to serve as our new President and Chief Executive Officer and the former CEO remains on our board. We have experienced turnover in certain other senior management positions which have been replaced by permanent or fractional management. A failure to maintain appropriate organizational capacity and capability to support our strategic initiatives or to build adequate bench strength with key skill sets required for seamless succession of leadership, could jeopardize our ability to meet our business performance expectations and growth targets. If we are unable to attract, develop, retain and incentivize sufficiently experienced and capable management personnel, our business and financial results may suffer.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or our franchisees face labor shortages or increased labor costs, our operating results could be adversely affected.</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Labor is a primary component in the cost of operating our restaurants and our success depends in part upon our and our franchisees’ ability to control labor costs and attract, motivate and retain a sufficient number of well-qualified restaurant operators and management personnel, as well as a sufficient number of other qualified employees. Qualified individuals needed to fill these positions has been and may continue to be in short supply in some geographic areas. In addition, restaurants have traditionally experienced relatively high employee turnover rates relative to other industries. If we encounter labor shortages, we have and may continue to be forced to temporarily close restaurants or reduce store hours, which could result in reduced revenue. In addition, failure to recruit and retain qualified individuals has and may continue to delay the planned openings of new restaurants. If labor costs increase, whether because of increased competition for employees, higher employee turnover rates, increases in the federal, state or local minimum wage or other employee benefits costs (including costs associated with workers’ compensation and health insurance coverage), our operating expenses could increase.</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taken strategic steps to attempt to make our restaurant operations more labor-efficient, including reconfigured restaurant operations, increased off-premise offerings, and new technology and equipment, but in certain instances these strategies may require initial investment costs and there can be no assurances that these strategies will succeed.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executing our franchise strategy.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in part on our franchisees and the manner in which they operate their locations to develop and promote our business. Although we have developed criteria to evaluate and screen prospective franchisees, we cannot be certain that our franchisees will have the business acumen or financial resources necessary to operate successful franchises in their franchise areas, and state franchise laws may limit our ability to terminate or modify these franchise arrangements. Moreover, despite our training, support and monitoring, franchisees may not successfully operate restaurants in a manner consistent with our standards and requirements or may not hire and train qualified managers and other restaurant personnel. The failure of our franchisees to operate their franchises successfully could have a material adverse effect on us, our reputation, our brand and our ability to attract prospective franchisees and could materially adversely affect our business, financial condition, results of operations or cash flows. Failure to provide our franchisees with adequate support and resources could also materially adversely affect these franchisees, as well as cause disputes between us and them and potentially lead to material liabilities.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Franchisees may not have access to the financial or management resources that they need to open the restaurants contemplated by their agreements with us or be able to find suitable sites on which to develop them, or they may elect to cease development for other reasons, including as a consequence of elevated interest rates and construction cost inflation. Franchisees may not be able to negotiate an acceptable lease or purchase terms for the sites, obtain the necessary permits and government approvals or meet construction schedules. Any of these problems could reduce our franchise revenues. When we sell restaurants to franchisees, we frequently remain liable on the related restaurant facility leases. If franchise owners default on leases that the Company remains liable on, it could result in material liabilities and negatively impact our results from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Supply Chain and Technology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information technology, and any material failure, weakness, interruption or breach of security could prevent us from effectively operating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heavily on information systems, including point-of-sale processing in our restaurants, for management of our supply chain, payment of obligations, collection of cash, credit and debit card transactions and other processes and procedures. We also rely on third-party vendors to provide information technology systems and to securely process and store related information, especially as it relates to credit and debit card transactions and online ordering. Our franchisees also rely on information systems and third-party vendors. Our ability to efficiently and effectively manage our business depends significantly on the reliability and capacity of these systems. Our operations depend upon our and our franchisees’, and our vendors’, ability to protect computer equipment and systems against damage from physical theft, fire, power loss, telecommunications failure or other catastrophic events, as well as from internal and external security breaches, viruses and other disruptive problems. Avoiding such incidents in the future will require us and our franchisees and vendors to continue to enhance information systems, procedures and controls and to hire, train and retain employees. The failure of these systems to operate effectively, maintenance problems, upgrading or transitioning to new platforms, or a breach in security of these systems could result in delays in customer service and reduce efficiency in our operations. Remediation of such problems could result in significant, unplanned capital investments and harm our business, financial condition, results of operations or cash flows.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harmed by breaches of security of information technology systems and/or of our confidential consumer, employee, financial, or other proprietary data.</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 of an industry that is vulnerable to cyber attacks and other cybersecurity incidents. In response, we have implemented cybersecurity processes, technologies, and controls to aid in our efforts to assess, identify, and manage cybersecurity risks. Our enterprise risk management framework considers cybersecurity risk alongside other company risks as part of our overall risk assessment process. Our enterprise risk management team includes information technology and digital security functions to gather insights for assessing, identifying and managing cybersecurity threat risks, their severity, and potential mitigations. The rapid evolution and increased adoption of artificial intelligence technologies may intensify our risks.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Company’s cybersecurity program using several frameworks including the cybersecurity framework from the National Institute of Standards and Technology (NIST-CSF). This program includes policies, processes and procedures that help assess and identify our cybersecurity risks and inform how security measures and controls are developed, implemented and maintained. The risk assessment along with risk-based analysis and judgment are used to prioritize our cybersecurity initiatives. During this process, the following factors, among others, are considered: likelihood and severity of risk, impact on the Company and others if a risk materializes, feasibility and cost of controls and impact of controls on operations.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internal resources to perform penetration testing designed to simulate evolving tactics and techniques of real-world threat actors, engage with industry partners and law enforcement and intelligence communities and conduct tabletop exercises and periodic risk interviews across our business. We also engage several independent third parties to perform internal and external penetration testing of our technology environment periodically and engage other third parties to periodically conduct assessments of our cybersecurity processes and capabilities. In addition, we continue to expand training and awareness practices to mitigate risk from human error, including mandatory computer-based training and internal communications for employees. Our employees undergo cybersecurity awareness training and regular phishing awareness campaigns that are based upon and designed to emulate real-world contemporary threats. We provide prompt feedback (and, if necessary, additional training or remedial action) based on the results of such exercises.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many information technology systems throughout our operations, including systems that record and process customer sales, manage human resources and generate accounting and financial reports. For example, our restaurants use computerized management information systems, including point-of-sale computers that process customer credit card, debit card and gift card payments, and in-restaurant back office computer systems designed to assist in the management of our restaurants and provide labor and food cost management tools. Our franchisees use similar point of sale systems and are required to report business and operational data through an online reporting network. Through these systems, we have access to and store a variety of consumer, employee, financial and other types of information related to our business. We also rely on third-party vendors to provide information technology systems and to securely process and store related information. Our franchisees also use information technology systems and rely on third-party vendors. If our or our franchisees’ technology systems, or those of third-party vendors we or our franchisees rely upon, are compromised as a result of a cyber-attack (including from circumvention of security systems,</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denial-of-service attacks, hacking, “phishing” attacks, computer viruses, ransomware, malware, or social engineering) or other external or internal methods, it could materially adversely affect our reputation, business, financial condition, results of operations or cash flows.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cyber risks we face range from cyber-attacks common to most industries to attacks that target us due to the confidential consumer information we obtain through our electronic processing of credit and debit card transactions. Like others in our industry, we have experienced many attempts to compromise our information technology and data, including a successful attempt in 2016 that we have discussed in previous filings, and we may experience more attempts in the future. These events could result in the misappropriation of our or our customers’ personal information or other proprietary or confidential information, breach of our legal, regulatory or contractual obligations, delays in our operations, or inability to access or rely upon critical business records or systems. In addition to property and casualty insurance, which may cover restoration of data, certain physical damage or third-party injuries, we have cybersecurity insurance related to a breach event. However, damage and claims arising from such incidents may not be covered or may exceed the amount of any available insurance.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cyber-attacks take many forms, change frequently, are becoming increasingly sophisticated, and may be difficult to detect for significant periods of time, we may not be able to respond adequately or timely to future cyber-attacks. If we or our franchisees, or third-party vendors, were to experience a material breach resulting in the unauthorized access, use, or destruction of our information technology systems or confidential consumer, employee, financial, or other proprietary data, it could negatively impact our reputation, reduce our ability to attract and retain customers and employees and disrupt the implementation and execution of our strategic goals. Moreover, such breaches could result in a violation of various privacy-related laws, including the various state specific privacy laws, which are subject to differing interpretations and criteria for enforcement, continue to undergo frequent change, and there are likely to be other jurisdictions that propose or enact new or emerging data privacy requirements in the future. The complexity of these privacy and data protection laws may result in significant costs arising from compliance and from any non-compliance, whether or not due to our negligence, and could affect our brand reputation and our results of operations. As a result, we may be subject us to investigations or private litigation, which, in turn, could expose us to civil or criminal liability, fines and penalties imposed by state and federal regulators, claims for purportedly fraudulent transactions arising out of the actual or alleged theft of credit or debit card information, compromised security and information systems, failure of our employees to comply with applicable laws, the unauthorized acquisition or use of such information by third parties, or other similar claims, and various costs associated with such matters.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heavily on certain vendors, suppliers and distributors, which could adversely affect our business.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maintain consistent pricing, quality and safety throughout our restaurants depends in part upon our ability to acquire specified food products and supplies in sufficient quantities from third-party vendors, suppliers and distributors at a reasonable cost. We do not control the businesses of our vendors, suppliers and distributors and our efforts to specify and monitor the standards under which they perform may not be successful. Furthermore, certain food items are perishable, and we have limited control over whether these items will be delivered to us in appropriate condition for use in our restaurants. If any of our distributors or suppliers perform inadequately, or our distribution or supply relationships are disrupted for any reason, our business, financial condition, results of operations or cash flows could be materially adversely affected. If we cannot replace or engage distributors or suppliers who meet our specifications in a short period of time, including any suppliers who are a sole source of supply of a particular ingredient, that could increase our expenses and cause shortages of food and other items at our restaurants, which could cause a restaurant to remove items from its menu. If that were to happen, affected restaurants could experience significant reductions in sales during the shortage or thereafter, especially if customers change their dining habits as a result. Our focus on a limited menu would make the consequences of a shortage of a key ingredient more severe. In addition, because we provide moderately priced food, we may choose not to, or may be unable to, pass along commodity price increases to consumers. These potential changes in food and supply costs could materially adversely affect our business, financial condition, results of operations or cash flows.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use various third-party vendors to provide, support and maintain most of our management information systems. We also outsource certain accounting, payroll and human resource functions to business process service providers. The failure of such vendors to fulfill their obligations could disrupt our operations. Any changes we may make to the services we obtain from our vendors, or new vendors we employ, may disrupt our operations. These disruptions could materially adversely affect our business, financial condition, results of operations or cash flows. For example, during 2023 our point of sale provider and food ordering vendors experienced temporary system outages. Future outages could lead to greater disruption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partner with various third-party vendors to deliver our food. If any of our delivery vendors perform inadequately, or our delivery relationships are disrupted for any reason, our business, financial condition, results of operations or cash flows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expand our digital business, delivery orders, and catering is uncertain, and these business lines are subject to risks.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third-party providers to fulfill delivery orders, and the ordering and payment platforms used by these third parties, or our mobile app or online ordering system, could be damaged or interrupted by technological failures, user errors, cyber-attacks or other factors, which may materially adversely impact our sales through these channels and could negatively impact our brand. Additionally, our delivery partners are responsible for order fulfillment and may make errors or fail to make timely deliveries, leading to customer disappointment that may negatively impact our brand. We also incur additional costs associated with using third-party service providers to fulfill these digital orders and the costs of delivery may have a material adverse impact on restaurant level margins. Additionally, several jurisdictions have implemented minimum wages for delivery drivers, and other jurisdictions are considering similar wage regulations, which could increase delivery fees and decrease our digital sales. Our competitive position within the third-party platforms can impact our sales. Moreover, the third-party restaurant delivery business is intensely competitive, with a number of players competing for market share, online traffic, capital, and delivery drivers and other people resources. The third-party delivery services with which we work may struggle to compete effectively, and if they were to cease or curtail operations, or fail to provide timely delivery services in a cost-effective manner, or if they give greater priority on their platforms to our competitors, our delivery business may be negatively impacted. Delivery and catering offerings also increase the risk of illnesses associated with our food because the food is transported and/or served by third parties in conditions we cannot control.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food and supply costs could adversely affect our results of operations.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food and supply costs. Shortages or interruptions in the availability of certain supplies caused by seasonal fluctuations, unanticipated demand, problems in production or distribution, food contamination, product recalls, government regulations (including changes in trade policies), inclement weather or other conditions could materially adversely affect the availability, quality and cost of our ingredients, which could harm our operations. Weather related issues, such as freezes, heavy rains or drought, may also lead to temporary spikes in the prices of some ingredients such as produce or meats. Increasing weather volatility or other long-term changes in global weather patterns, including any changes associated with global climate change, could have a significant impact on the price, availability and timing of delivery of some of our ingredients. In addition, at certain times of the year a substantial volume of our shrimp and produce items are imported from India, Mexico and other countries. The United States has recently implemented or threatened certain changes in trade policies, including tariffs. Any new or increased import duties, tariffs or taxes, or other changes in U.S. trade or tax policy, could result in higher food and supply costs. Any increase in the prices of the food products most critical to our menu, such as pasta, beef, chicken, wheat flour, cheese and other dairy products, tofu and vegetables, could materially adversely affect our operating results, especially if we are unable to increase our menu prices in order to pass these increased costs on to consumers.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the cost of several of our food ingredients increased as a result of inflation in many commodities, particularly chicken and in 2025 we saw an increase in beef inflation. For our chicken purchases, we entered into temporary formula pricing contracts with our vendors and were susceptible to fluctuations in the commodities markets. While we saw material market improvement in food ingredients, if food inflation were to persist, our financial condition and business operations could be severely impacted. We have, and expect to continue to, enter into fixed-based pricing agreements for certain food ingredients to reduce our exposure to cost increases, but there can be no guarantee that we will be able to do so on favorable terms or at all.</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recognize, respond to and effectively manage the accelerated impact of social media could have an adverse effect on our business.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 widespread and dramatic increase in the use of social media platforms that allow users to access a broad audience of consumers and other interested persons. The availability of information on social media can be virtually immediate, as can its impact, and users of many social media platforms can post information without filters or checks on the accuracy of the content posted. Adverse information concerning our restaurants or brand, including user reviews, whether accurate or inaccurate, may be posted on such platforms at any time and can quickly reach a wide audience. The resulting harm to our reputation may be</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 without affording us an opportunity to correct or otherwise respond to the information, and it is challenging to monitor and anticipate developments on social media in order to respond in an effective and timely manner.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although search engine marketing, social media and other new technological platforms offer great opportunities to increase awareness of and engagement with our restaurants and brand, our failure to use social media effectively in our marketing efforts may further expose us to the risks associated with the accelerated impact of social media. Many of our competitors are expanding their use of social media and the social media landscape is rapidly evolving, potentially making more traditional social media platforms obsolete. As a result, we need to continuously innovate and develop our social media strategies in order to maintain broad appeal with guests and brand relevance, and we may not do so effectively. A variety of additional risks associated with our use of social media include the possibility of improper disclosure of proprietary information, exposure of personally identifiable information of our employees or guests, fraud, or the publication of out-of-date information, any of which may result in material liabilities or reputational damage. Furthermore, any inappropriate use of social media platforms by our employees could also result in negative publicity that could materially damage our reputation or lead to litigation that materially increases our costs.</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or improved technologies, including artificial intelligence, and risks or changes in consumer behavior facilitated by these technologies could negatively affect our business.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Consumer behavior continues to evolve regarding restaurant technology expectations, and we may not be able to meet changing demands. For example, the rapid evolution and increased use of artificial intelligence and related technologies may affect our customers’ expectations, requirements or tastes in ways we cannot adequately anticipate or adapt to, adversely affect our business financial condition and results of operations, and may require us to develop artificial intelligence-specific systems. Use of artificial intelligence in our systems may create further risks, such as unauthorized access to or the misappropriation of information including consumer, employee, financial and other types of information related to our business as well as disruptions to operations, which could materially adversely affect our reputation, business, financial condition,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Accounting, and Regulatory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estimates related to our property, fixtures and equipment or operating results that are lower than our current estimates at certain restaurant locations may cause us to incur impairment charges on certain long-lived assets, which may materially adversely affect our results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accounting guidance as it relates to the impairment of long-lived assets, we make certain estimates and projections with regard to individual restaurant operations, as well as our overall performance, in connection with our impairment analyses for long-lived assets. When impairment triggers are deemed to exist for any location, the estimated undiscounted future cash flows are compared to its carrying value. If the carrying value exceeds the undiscounted cash flows, an impairment charge equal to the difference between the carrying value and the fair value is recorded. The projections of future cash flows used in these analyses require the use of judgment and a number of estimates and projections of future operating results. If actual results differ from our estimates, additional charges for asset impairments may be required in the future. Over the past several years we have recognized significant impairment charges and, if future impairment charges continue to be significant, this could have a material adverse effect on our business or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internal control over financial reporting could adversely affect our business and financial results.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of America (“GAAP”). Because of its inherent limitations, internal control over financial reporting is not intended to provide absolute assurance that we would prevent or detect a material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may not be able to timely remediate any material weaknesses that may be identified in future periods or maintain all of the controls necessary for continued compliance. Likewise, we cannot assure you that we will be able to retain sufficient skilled</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and accounting personnel, especially in light of the increased demand for such personnel among publicly traded companies.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regulation may adversely affect our business, financial condition, results of operations or cash flows.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federal, state and local regulations, including those relating to building and zoning requirements and those relating to the preparation and sale of food. Our restaurants are also subject to state and local licensing and regulation by health, sanitation, food and occupational safety and other agencies. We may experience material difficulties or failures in obtaining the necessary licenses, approvals or permits for our restaurants, which could delay planned restaurant openings or affect the operations at our existing restaurants. In addition, stringent and varied requirements of local regulators with respect to zoning, land use and environmental factors could delay or prevent development of new restaurants in particular locations. Moreover, the current uncertainty surrounding government regulations and policies, how they are interpreted and enforced and the potential for rapid change could lead to disruptions in our business.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Americans with Disabilities Act and similar state laws that give civil rights protections to individuals with disabilities in the context of employment, public accommodations and other areas, including our restaurants. We may in the future have to modify restaurants, for example, by adding access ramps or redesigning certain architectural fixtures, to provide service to or make reasonable accommodations for disabled persons. The expenses associated with these modifications could be material.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are also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Changes in these laws or implementation of new proposals for similar matters could materially adversely affect our business, financial condition, results of operations or cash flows.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franchising activities are subject to federal rules and regulations administered by the U.S. Federal Trade Commission and laws enacted by a number of states. In particular, we are subject to federal and state laws regulating the offer and sale of franchises, as well as judicial and administrative interpretations of such laws. Such laws impose registration and disclosure requirements on franchisors in the offer and sale of franchises and may also apply substantive standards to the relationship between franchisor and franchisee, including limitations on the ability of franchisors to terminate franchises and alter franchise arrangements. Failure to comply with new or existing franchise laws, rules, and regulations in any jurisdiction or to obtain required government approvals could negatively affect our ability to grow or expand our franchise business and sell franchises.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involves the collection, transmission and retention of large volumes of customer and employee data (among others), including credit and debit card numbers and other personally identifiable information. The collection and use of such information is regulated at the federal and state levels, as well as internationally. Regulatory requirements, both domestic and abroad, have been changing with increasing regulation relating to the privacy, security and protection of data. Such regulatory requirements may become more prevalent in other states and jurisdictions as well. Monitoring and complying with these laws requires substantial resources and there is no assurance that our compliance efforts will be successful in preventing breaches or data loss. Failure to comply with these laws, whether through fault of our own information systems or those of third parties, could not only cause us to fail to comply with these laws and regulations, but also could cause us to face litigation and penalties that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employment laws may adversely affect our business.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federal and state labor laws govern the relationship with our employees and affect labor and operating costs. These laws include employee classification as exempt/non-exempt for overtime and other purposes, minimum wage requirements, unemployment tax rates, workers’ compensation rates, mandatory health benefits, immigration status and other wage and benefit requirements. Some jurisdictions, including some of those in which we operate, have recently increased their minimum wage by a significant amount, and other jurisdictions are considering similar actions, which has and may continue increase our labor costs. Several jurisdictions have implemented fair workweek or “secure scheduling” legislation, which impose complex requirements related to scheduling for certain restaurant and retail employees, and additional jurisdictions are considering similar legislation. Several jurisdictions have also implemented sick pay and paid time off legislation, which requires employers to provide paid time off to employees, and “just cause” termination legislation, which restricts companies’ ability to terminate employees or reduce employees’ hours unless they can prove “just cause” or a “bona fide economic reason” for the termination or reduction in hours. All of these regulations impose additional obligations on us and our failure to comply with any of these regulations could subject us to penalties and other legal liabilities. Significant additional government-imposed increases in the following areas could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materially affect our business, financial condition, operating results or cash flow: overtime rules; mandatory health benefits; vacation accruals; paid leaves of absence, including paid sick leave; and tax reporting.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Immigration laws have recently been an area of considerable focus by the Department of Homeland Security, with enforcement operations taking place across the country, resulting in arrests, detentions and deportation of unauthorized workers. Some of these changes and enforcement programs may increase our obligations for compliance and oversight, which could subject us to additional costs and make our hiring process more cumbersome or reduce the availability of potential employees. Although we require all workers to provide us with government-specified documentation evidencing their employment eligibility, some of our employees may, without our knowledge, be unauthorized workers. Unauthorized workers are subject to deportation and may subject us to fines or penalties, and if any of our workers are found to be unauthorized we could experience adverse publicity that negatively impacts our brand and may make it more difficult to hire and keep qualified employees. Termination of a significant number of employees who were unauthorized employees may disrupt our operations, cause temporary increases in our labor costs as we train new employees and result in additional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results of operations or cash flows.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information or attitudes regarding diet and health could result in changes in regulations and consumer consumption habits that could adversely affect our results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Regulations and consumer eating habits may change as a result of new information or attitudes regarding diet, health and safety. Such changes may include federal, state and local regulations and recommendations from medical and diet professionals pertaining to the ingredients and nutritional content of the food and beverages we offer. The significant rise in weight loss medications, and recent reductions in their costs, could lead to a limitation of the consumption of higher calorie items or portion sizes. The success of our restaurant operations is dependent, in part, upon our ability to effectively respond to changes in any consumer health regulations and our ability to adapt our menu offerings to trends in food consumption. If consumer health regulations or consumer eating habits change significantly, we may choose or be required to modify or remove certain menu items, which may cause us to incur costs to implement those changes and may materially adversely affect the appeal of our menu to new or returning customers. To the extent we are unwilling or unable to respond with appropriate changes to our menu offerings, it could materially affect consumer demand and could have a material adverse impact on our business, financial condition, results of operations or cash flows.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 regulation and consumer eating habits may impact our business as a result of changes in attitudes regarding diet, medications and health or new information regarding the adverse health effects of consuming certain menu offerings. As discussed in Part I, “Business-Governmental Regulation and Environmental Matters” of this Form 10-K, these changes have resulted in, and may continue to result in, laws and regulations requiring us to disclose the nutritional content of our food offerings, and they have resulted, and may continue to result in, laws and regulations affecting permissible ingredients and menu offerings. Inconsistencies among state laws with respect to presentation of nutritional content could be challenging for us to comply with in an efficient manner. The Patient Protection and Affordable Care Act also requires covered restaurants to provide to consumers, upon request, a written summary of detailed nutritional information for each standard menu item, and to provide a statement on menus and menu boards about the availability of this information upon request. An unfavorable report on, or reaction to, our menu ingredients, the size of our portions or the nutritional content of our menu items could negatively influence the demand for our offerings.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current and future laws and regulations regarding the ingredients and nutritional content of our menu items may be costly and time-consuming.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effectively respond to changes in consumer health and safety perceptions or to successfully implement the nutrient content disclosure requirements and adapt our menu offerings to trends in eating habits. The imposition of additional menu labeling laws could materially adversely affect our business, financial condition, results of operations or cash flows, as well as our position within the restaurant industry in general.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the value of our brand and could adversely affect our business.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intellectual property is material to the conduct of our business and our marketing efforts. Our ability to implement our business plan successfully depends in part on our ability to further build brand recognition using our trademarks, service marks, trade dress and other proprietary intellectual property, including our name and logos and the unique ambiance of our restaurants. While it is our policy to protect and defend vigorously our rights to our intellectual property, we cannot predict whether steps taken by us to protect our intellectual property rights will be adequate to prevent misappropriation of these rights or the use by others of restaurant features based upon, or otherwise similar to, our concept. It may be difficult for us to prevent others from copying elements of our concept and any litigation to enforce our rights will likely be costly and may not be successful. Although we believe that we have sufficient rights to all of our trademarks and service marks, we may face claims of infringement that could interfere with our ability to market our restaurants and promote our brand. Any such litigation may be costly and divert resources from our business. Moreover, if we are unable to successfully defend against such claims, we may be prevented from using our trademarks or service marks in the future, may be liable for damages and may have to change our marketing efforts, which in turn could materially adversely affect our business, financial condition, results of operations or cash flows.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party to litigation that could adversely affect us by distracting management, impairing our reputation, increasing our expenses or subjecting us to material money damages and other remedies.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customers occasionally file complaints or lawsuits against us alleging we caused an illness or injury they suffered at or after a visit to our restaurants, or that we have problems with food quality or operations. These kinds of complaints or lawsuits may be more common in a period in which the public is focused on health safety issues, or may attract more attention due to publication on various social media outlets. We are also subject to a variety of other claims arising in the ordinary course of our business, including personal injury claims, contract claims and claims alleging violations of federal and state law regarding workplace and employment matters, equal opportunity, discrimination and similar matters and we could become subject to class action or other lawsuits related to these or different matters in the future. In addition, the restaurant industry has from time to time been subject to claims based on the nutritional content of food products sold and disclosure and advertising practices. We may also become subject to various employee and workplace litigation, including claims related to discrimination, harassment, workplace safety, medical and family leave, and wage-and-hour issues.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Regardless of whether any claims against us are valid, or whether we are ultimately held liable, claims may be expensive to defend and may divert time and money away from our operations and hurt our performance. A judgment in excess of our insurance coverage for any claims could materially adversely affect our financial condition or results of operations. Any adverse publicity resulting from these allegations, even if proven to be false, may also materially adversely affect our reputation or prospects, which in turn could materially adversely affect our business, financial condition, results of operations or cash flows.</w:t>
      </w:r>
    </w:p>
    <w:p>
      <w:pPr>
        <w:spacing w:after="0" w:line="166"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attention to and evolving expectations for corporate responsibility matters may increase our costs, harm our reputation, or otherwise adversely affect our business.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reputation could be harmed if we fail, or are perceived to fail, to comply with various regulatory requirements or if we are unable to meet stakeholder expectations in a number of areas such as health, safety and security; sustainability; environmental stewardship; climate change; human rights; and corporate governance. We manage a broad range of corporate responsibility matters, taking into consideration their expected effect on the sustainability of our business over time, and the potential effect of our business on society and the environment. Such efforts can be costly and complex, and we may not ultimately accomplish our desired objectives, either as intended or at all. In addition, both guest and shareholder and other stakeholder expectations regarding such matters are evolving, and navigating these issues will require us to successfully manage differing views on these matters. Adverse incidents or failure to comply or meet expectations with respect to our corporate responsibility efforts could negatively affect our reputation, the cost of our operations, and relationships with guests and shareholder and other stakeholders, all of which could adversely affect our business, results of operations, and the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Debt Financing and Common Stock</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credit facility contain financial covenants and other restrictions on our actions that may limit our financial and operational flexibility or otherwise adversely affect our liquidity and results of operations. Further, we may be unable to negotiate favorable borrowing terms, and any additional capital we may require could be senior to existing equity holders, dilute existing equity holders or include unfavorable restrictions.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general matter, operating and developing our business requires significant capital. Our A&amp;R Credit Agreement (as defined in Item 7 below) matures in 2027 and securing access to credit on reasonable terms thereafter will require us to extend or refinance such agreement. In addition, in order to pursue our business and operational strategies, we may need additional sources of liquidity in the future and it may be difficult or not practical at such time to increase our liquidity. Our lenders may not agree to amend our credit agreement at such time to increase our borrowing capacity.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A&amp;R Credit Agreement has a variable interest rate equal to the Secured Overnight Financing Rate (“SOFR”) plus a margin of 1.75% to 3.75% per annum, based upon the consolidated total lease adjusted leverage ratio. Interest rates may rise in the future due to future amendments to the A&amp;R Credit Agreement, inflation or other causes. As a result, the costs of servicing our variable interest rate debt have and could again increase even if the amount borrowed under such credit facility remains the same. Increased servicing costs could adversely affect our business, financial condition, results of operations or cash flows.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our requirements for additional liquidity may coincide with periods during which we may not be in compliance with covenants under our credit agreement and our lenders may not agree to further amend our credit agreement to accommodate such non-compliance. We amended our credit agreement in 2023 and 2024, which resulted in an increase in our borrowing rates and modifications to both the Fixed Charge and Consolidated Total Lease Adjusted Leverage ratios and restrictions related to new restaurant growth and new leases, and these restrictions became more stringent beginning in the fourth quarter of 2025.</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were in compliance with our covenants as of December 30, 2025, and expect to continue to be in compliance through the next twelve months; however there is no assurance that we will be able to do so. The required Consolidated Total Lease Adjusted Leverage Ratio (as defined in the A&amp;R Credit Agreement) stepped down from 5.50 to 1.00 to 5.25 to 1.00 for the fourth quarter of fiscal year 2025, then further steps down to 5:00 to 1.00 for the first two quarters of fiscal 2026, and further steps down to 4.75 to 1.00 for the third and fourth quarters of 2026. The required Minimum Consolidated Fixed Charge Coverage Ratio (as defined in the A&amp;R Credit Agreement) stepped up from 1.05 to 1.00 to 1.15 to 1.00 for the fourth quarter of fiscal year 2025 and the first quarter of fiscal 2026, and then further steps up to 1.25 to 1.00 for the second quarter of fiscal 2026. Our ability to comply with these covenants or, if we are not in compliance, our ability to obtain covenant waivers or modifications depends on many factors, some of which are beyond our control, including without limitation macroeconomic conditions, operating performance and the effectiveness of our strategic initiatives. The A&amp;R Credit Agreement contains various events of default that include, among others, non-payment of principal or interest, breach of covenants, inaccuracy of representations and warranties, cross defaults to certain other indebtedness, bankruptcy and insolvency events, material judgments, and events constituting a change of control, in each case subject to thresholds and cure periods as set forth in the A&amp;R Credit Agreement. Upon the occurrence and during the continuance of such an event of default, our lenders would have the right to terminate their commitments and accelerate our obligations under the A&amp;R Credit Agreement as well as exercise other rights and remedies provided for under the A&amp;R Credit Agreement, the other loan documents and applicable law. If outstanding borrowings under the A&amp;R Credit Agreement were to be accelerated, we may not have sufficient cash on hand or be able to borrow sufficient funds to refinance the debt or sell sufficient assets to repay the debt, which could immediately adversely affect our business, cash flows, results of operations, and financial condition.</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are able to access additional liquidity, agreements governing any borrowing arrangement could contain covenants restricting our operations.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higher interest rates, especially given the current inflationary environment, and restrictive covenants relating to our capital-raising activities and other financial and operational matters, which might make it more difficult for us to obtain additional capital and to pursue business opportunities. Moreover, if we issue new debt securities, the debt holders would have rights senior to common stockholders to make claims on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qualify for continued listing on the Nasdaq Global Select Market, which could make it more difficult for our stockholders to sell their shares and reduce our ability to raise additional capital.</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required to satisfy the continued listing requirements of the Nasdaq Global Select Market (“Nasdaq”) to maintain such listing, including, among other things, the maintenance of a minimum closing bid price of $1.00 per share. On June 24, 2025, we received a notice from Nasdaq indicating that we were not in compliance with the minimum bid price requirements set forth in Nasdaq Listing Rule 5450(a)(1) for continued listing on Nasdaq. Nasdaq Listing Rule 5450(a)(1) requires listed securities maintain a minimum closing bid price of $1.00 per share, and Nasdaq Listing Rule 5810(c)(3)(A) provides that a failure to meet the minimum closing bid price requirement exists if the deficiency continues for a period of 30 consecutive business days. The notification of noncompliance had no immediate effect on the listing or trading of our common stock on Nasdaq and we had 180 calendar days from the date of notice to achieve compliance with the minimum bid price requirement, or until December 22, 2025. To regain compliance, the closing bid price of our common stock must have been at least $1.00 per share for a minimum of 10 consecutive business days at any time prior to the expiration of the 180-calendar day grace period, unless Nasdaq exercised its discretion to extend this ten-day period. As the Company did not regain compliance by December 22, 2025, the Company requested a hearing before a Nasdaq Hearing Panel (“Panel”) to extend its compliance period, which request stayed any further suspension or delisting action by Nasdaq, pending the ultimate conclusion of the hearing process. On January 27, 2026, the Panel notified the Company that it had granted the Company’s request for additional time to complete the steps intended to cause it to regain compliance with the minimum bid price requirement. The Company executed the Reverse Stock Split on February 18, 2026, and as a result, the Company’s common stock traded above $1.00 for the required time period. On March 5, 2026, Nasdaq notified us that we had regained compliance with Nasdaq Listing Rule 5450(a)(1) and that the matter is now closed.</w:t>
      </w:r>
    </w:p>
    <w:p>
      <w:pPr>
        <w:spacing w:after="0" w:line="20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Though we recently regained compliance, we could be notified in the future of non-compliance, including if our stock price again falls below $1.00 for the compliance time period, and we may fail to regain compliance and qualify for continued listing on the Nasdaq Global Select Market.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common stock is delisted by Nasdaq, we could face significant material adverse consequences, including: a limited availability of market quotations for our common stock; reduced liquidity with respect to our common stock; a determination that our shares are “penny stock,” which will require brokers trading in our shares to adhere to more stringent shares, and which may limit demand for our common stock; a limited amount of analyst coverage for our company; and a decreased ability to obtain additional financing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such sales may occur, could depress our common stock price.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may occur, could depress the market price of our common stock. Our amended and restated certificate of incorporation authorizes us to issue up to 180,000,000 shares of Class A common stock and Class B common stock , and such amount was not reduced in connection with the Reverse Stock Split, in which the number of outstanding shares of Class A common stock was reduced by a factor of eight. As a result, this increased the number of shares available for future issuance. As of December 30, 2025, we have 5,852,349 outstanding shares of Class A common stock and no outstanding shares of Class B common stock. In addition, as of such date, approximately 365,007 shares of Class A common stock are issuable upon the exercise of outstanding stock options and the vesting of restricted stock units. Moreover, as of that date, approximately 0.5 million shares of our common stock are available for future grants under our stock incentive plan and for future purchase under our employee stock purchase plan.</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and could fall below the expectations of securities analysts and investors due to seasonality and other factors, some of which are beyond our control, resulting in a decline in our stock price.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operating results may fluctuate significantly because of several factors, including but not limited to: increases and decreases in average unit volumes and comparable restaurant sales; profitability of our restaurants; labor availability and costs for hourly and management personnel; changes in interest rates; macroeconomic conditions, both nationally and locally; negative publicity relating to the consumption of products we serve; changes in consumer preferences and competitive conditions; impairment of long-lived assets and any loss on and exit costs associated with restaurant closures; expansion to new markets; the timing of any new restaurant openings and related expense; restaurant operating costs for our newly-opened restaurants; increases in infrastructure costs; and fluctuations in commodity prices.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Seasonal factors, particularly weather disruptions, and the timing of holidays also cause our revenue to fluctuate from quarter to quarter. Our revenue per restaurant is typically lower in the first and fourth quarters due to reduced winter and holiday traffic and</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higher in the second and third quarters. As a result of these factors, our quarterly and annual operating results and comparable restaurant sales may fluctuate significantly. Accordingly, results for any one quarter are not necessarily indicative of results to be expected for any other quarter or for any year and comparable restaurant sales for any particular future period may decrease. In the future, operating results may fall below the expectations of securities analysts and investors. In that event, the price of our common stock would likely decrease.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Delaware law may delay or prevent our acquisition by a third party.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our second amended and restated bylaws and Delaware law each contain several provisions that may make it more difficult for a third party to acquire control of us without the approval of our Board of Directors. For example, we have a classified Board of Directors with three-year staggered terms, which could delay the ability of stockholders to change the membership of a majority of our Board of Directors. These provisions may make it more difficult or expensive for a third party to acquire a majority of our outstanding equity interests. These provisions also may delay, prevent or deter a merger, acquisition, tender offer, proxy contest or other transaction that might otherwise result in our stockholders receiving a premium over the market price for their common stock.</w:t>
      </w:r>
    </w:p>
    <w:p>
      <w:pPr>
        <w:spacing w:after="0" w:line="200" w:lineRule="exact"/>
        <w:rPr>
          <w:sz w:val="20"/>
          <w:szCs w:val="20"/>
          <w:color w:val="auto"/>
        </w:rPr>
      </w:pPr>
    </w:p>
    <w:p>
      <w:pPr>
        <w:spacing w:after="0" w:line="25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sensitive information including intellectual property, proprietary business information and personal information in connection with business operations. Additionally, we leverage our third-party vendors to collect, use, store, and transmit confidential, sensitive, proprietary, personal, and health-related information. The secure maintenance of this information and our information technology systems is important to our operations and business strategy. To this end, we have implemented processes designed to assess, identify, and manage risks from potential unauthorized occurrences on or through our information technology systems that may result in adverse effects on the confidentiality, integrity, and availability of these systems and the data residing therein. These processes are managed and monitored by a dedicated information technology team, which is led by our Executive Vice President of Technology, and include mechanisms, controls, technologies, systems, and other processes designed to prevent or mitigate data loss, theft, misuse, or other security incidents or vulnerabilities affecting the data and maintain a stable information technology environment. For example, we regularly monitor our information technology environment for abnormal behavior, conduct penetration and vulnerability testing, data recovery testing, security audits, and ongoing risk assessments, including due diligence on our key technology vendors and other third-party service providers that have access to the personal information we collect, use, store, and transmit. We leverage standard industry tools from a software and hardware perspective and maintain a cybersecurity risk insurance policy. We also conduct periodic employee trainings on cyber and information security, among other topics. In addition, we consult with outside advisors and experts on a regular basis to assist with assessing, identifying, and managing cybersecurity risks, including to anticipate future threats and trends, and their impact on the Company’s risk environment.</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Vice President of Technology, who reports directly to the President and Chief Executive Officer and has over 18 years of experience managing information technology and cybersecurity matters, together with our senior leadership team, is responsible for assessing and managing cybersecurity risks. We consider cybersecurity, along with other significant risks that we face, within our overall enterprise risk management framework. Since the beginning of the last fiscal year, we have not identified risks from known cybersecurity threats, including as a result of any prior cybersecurity incidents, that have materially affected us, but we face certain ongoing cybersecurity risks threats that, if realized, are reasonably likely to materially affect us. Additional information on cybersecurity risks we face is discussed in Part I, Item 1A, “Risk Factors,” under the heading “We may be harmed by breaches of security of information technology systems or our confidential consumer, employee, financial, or other proprietary data.”</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as a whole and at the committee level, has oversight for the most significant risks facing us and for our processes to identify, prioritize, assess, manage, and mitigate those risks. The Audit Committee, which is comprised solely of independent directors, has been designated by our Board to oversee cybersecurity risks. The Audit Committee receives regular updates on cybersecurity, including immediate notification of any material cybersecurity events, and information technology</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matters and related risk exposures from our Executive Vice President of Technology as well as other members of the senior leadership team including with respect to the Company’s compliance with the Payment Card Industry (PCI) Data Security Standard (DSS), its implementation of data security solutions and risk evaluation, and its insurance coverages. The Audit Committee also reviews reports from third party service providers and discusses the findings with management. The Board receives updates from management and the Audit Committee on cybersecurity risks.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30, 2025, we and our franchisees operated 423 restaurants in 31 states. Our restaurants are typically between 2,000 and 2,600 square feet and are located in a variety of suburban, collegiate and urban markets. We lease the property for our restaurant support center and all of the properties on which we operate restaurants. The chart below shows the locations of our company-owned and franchised restaurants as of December 30, 2025.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1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Company-owned</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Franchised</w:t>
            </w:r>
          </w:p>
        </w:tc>
        <w:tc>
          <w:tcPr>
            <w:tcW w:w="18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Connecticut</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Idaho</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Iowa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Kansas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Kentucky</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Montana</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Nebraska</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Oregon</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Utah</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Wisconsin</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under non-cancelable leases for our restaurants and our restaurant support center. Our restaurant leases generally have initial terms of 10 years with two or more five-year renewal options. Our restaurant leases may require us to pay a proportionate share of real estate taxes, insurance, common area maintenance charges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proceedings, lawsuits and claims. Such matters are subject to many uncertainties, and outcomes that are not predictable with assurance. Consequently, the Company is unable to ascertain the ultimate aggregate amount of monetary liability or financial impact with respect to these matters as of December 30, 2025.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spacing w:after="0" w:line="3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the Registrant’s Common Equity, Related Stockholder Matters and Issuer Purchases of Equity Securities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Class A common stock trades on the Nasdaq Global Select Market under the symbol NDLS. As of March 20, 2026, there were approximately 29 holders of record of our common stock. The number of holders of record is based upon the actual numbers of holders registered at such date and does not include holders of shares in “street name” or persons, partnerships, associates, corporations or other entities in security position listings maintained by depositories. On February 18, 2026, we effectuated the 1-for-8 Reverse Stock Split of our shares of Class A common stock. Refer to Part II, Item 7. Management's Discussion and Analysis of Financial Condition and Results of Operations for further discussion.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share repurchases during the fourth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 by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sold no unregistered securities that have not been previously included in a Quarterly Report on Form 10-Q or in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dividends have been declared or paid on our shares of common stock. We do not anticipate paying any cash dividends on any of our shares of common stock in the foreseeable future. We currently intend to retain any earnings to reduce outstanding debt and finance the development and expansion of our business. Any future determination to pay dividends will be at the discretion of our Board of Directors and will be dependent upon then-existing conditions, including our earnings, capital requirements, results of operations, financial condition, business prospects and other factors that our Board of Directors considers relevant. Further, our credit facility contains provisions that limit our ability to pay dividends on our common stock. See “Management’s Discussion and Analysis of Financial Condition and Results of Operations” and “Certain Relationships and Related Transactions, and Director Independence” for additional information regarding our financial condition.</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Item 8. “Financial Statements and Supplementary Data.” This section of the Form 10-K generally discusses 2025 and 2024 items and year-to-year comparisons of 2025 to 2024. Discussions of 2023 items and year-to-year comparisons of 2024 and 2023 that are not included in this Form 10-K can be found in “Management’s Discussion and Analysis of Financial Condition and Results of Operations” in Part II, Item 7 on our Annual Report on Form 10-K for the year ended December 31, 2024. In addition to historical information, this discussion and analysis contains forward-looking statements that involve risks and uncertainties. Our actual results may differ materially from those anticipated in these forward-looking statements as a result of certain factors including, but not limited to, those discussed in Item 1A. “Risk Factors” and elsewhere in this report.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operate on a 52- or 53-week fiscal year ending on the Tuesday closest to December 31. Fiscal years 2025 and 2024, which ended on December 30, 2025 and December 31, 2024, respectively, contained 52 weeks. We refer to our fiscal years as 2025 and 2024. Our fiscal quarters each contained 13 operating weeks.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Noodles &amp; Company is a restaurant concept offering lunch and dinner within the fast-casual segment of the restaurant industry. We opened our first location in 1995, offering noodle and pasta dishes, staples of many different cuisines, with the goal of delivering fresh ingredients and flavors from around the world under one roof. Today, our globally-inspired menu includes a wide variety of high quality, cooked-to-order dishes, including noodles and pasta, soups, salads and appetizers. We believe we offer our customers value with a per-person spend of $13.86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Reverse Stock Split. </w:t>
      </w:r>
      <w:r>
        <w:rPr>
          <w:rFonts w:ascii="Times New Roman" w:cs="Times New Roman" w:eastAsia="Times New Roman" w:hAnsi="Times New Roman"/>
          <w:sz w:val="18"/>
          <w:szCs w:val="18"/>
          <w:color w:val="auto"/>
        </w:rPr>
        <w:t>On February 18, 2026, the amendment to our Amended and Restated Certificate of Incorporation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took effect to implement the Reverse Stock Split of our issued and outstanding shares of Class A common stock, par value $0.01 per share, at a ratio of 1-for-8.</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and it did not impact the par value of our common stock. Neither the Reverse Stock Split nor the related amendment to the Certificate of Incorporation had any impact on the number of shares of common stock or preferred stock we are authorized to issue under the Certificate of Incorporation or the number of issued and outstanding shares of our preferred stock (of which there are currently none).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shares of common stock, stock-based compensation awards and per share amounts included in the Consolidated Financial Statements and applicable notes thereto in Part II, Item 8 of this Report and elsewhere in this Report have been retrospectively restated to reflect the effect of the Reverse Stock Split and related amendment to the Certificate of Incorporation.</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Strategic Review</w:t>
      </w:r>
      <w:r>
        <w:rPr>
          <w:rFonts w:ascii="Times New Roman" w:cs="Times New Roman" w:eastAsia="Times New Roman" w:hAnsi="Times New Roman"/>
          <w:sz w:val="18"/>
          <w:szCs w:val="18"/>
          <w:color w:val="auto"/>
        </w:rPr>
        <w:t>. On September 3, 2025, we announced that our Board of Directors had initiated a review of strategic alternatives in order to explore ways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maximize stockholder value. The review was set to include a range of potential strategic alternatives, including a refinancing of existing indebtedness or sale of all or part of the business, and/or other strategic or financial transactions. Such review remains in process.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In fiscal 2025, we saw an increase in revenue as a result of an increase in comparable restaurant sales, partially offset by restaurant 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System-wide comparable restaurant sales increased 4.1%, comprised of a 4.3% increase for company-owned restaurants and a 3.2% increase for franchise restaurants. Starting in the third quarter of 2025 and continuing into the early part of 2026 we have seen our sales outpace the overall fast casual industry as measured by Blackbox. Our comparable restaurant sales have been positive since the introduction of our new menu aided by the introduction of Delicious Duos in late July, the introduction of Chili Garlic Ramen in October, and the benefit of sales transferring from restaurants that we closed to our nearby restaurants.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In recent years, we incurred incremental costs of sales driven by volatility in the commodity and food ingredients markets, particularly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chicken products, in addition to an increase in packaging costs and distribution. The commodity markets underlying our cost of food have improved since the historically high costs in 2022. Our commodity inflation in 2025</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 less than 2%. Throughout these periods of volatility, we have continued to work with our suppliers for ongoing supply chain efficiencies, including managing food waste and adding additional suppliers as necessary.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evaluated and will continue to evaluate the impact of import laws and tariffs on our operations as some of our food items are imported from India, Mexico and other countries. As of December 30, 2025, there was no material impact on our business, financial condition, results of operations or cash flows. However, the tariffs continue to change and we expect tariffs may impact our operations in certain areas, such as food and beverage costs, construction and equipment costs and other restaurant operating costs into 2026. We will continue to utilize fixed price contracts for certain key items to mitigate risk.</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Labor Costs. </w:t>
      </w:r>
      <w:r>
        <w:rPr>
          <w:rFonts w:ascii="Times New Roman" w:cs="Times New Roman" w:eastAsia="Times New Roman" w:hAnsi="Times New Roman"/>
          <w:sz w:val="18"/>
          <w:szCs w:val="18"/>
          <w:color w:val="auto"/>
        </w:rPr>
        <w:t>Similar to much of the restaurant industry, our base labor costs have risen in recent years. We have been able to partially mitigate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wage inflation through a continued focus on maximizing efficiencies of labor hour usage per restaurant and wage inflation has stabilized to less than 3%.</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Restaurant Operating Costs. </w:t>
      </w:r>
      <w:r>
        <w:rPr>
          <w:rFonts w:ascii="Times New Roman" w:cs="Times New Roman" w:eastAsia="Times New Roman" w:hAnsi="Times New Roman"/>
          <w:sz w:val="18"/>
          <w:szCs w:val="18"/>
          <w:color w:val="auto"/>
        </w:rPr>
        <w:t>We have incurred, and expect to continue to incur, increased third-party delivery fees due to significant increased usage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third-party delivery services resulting in a higher mix of third party delivery sales.</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Restaurant Development. </w:t>
      </w:r>
      <w:r>
        <w:rPr>
          <w:rFonts w:ascii="Times New Roman" w:cs="Times New Roman" w:eastAsia="Times New Roman" w:hAnsi="Times New Roman"/>
          <w:sz w:val="18"/>
          <w:szCs w:val="18"/>
          <w:color w:val="auto"/>
        </w:rPr>
        <w:t>In 2025, we opened two company-owned restaurants. As of December 30, 2025, we had 340 company-owned restaurants and 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 restaurants in 31 states. We do not plan to open any new company-owned restaurants in 2026.</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Certain Restaurant Closures. </w:t>
      </w:r>
      <w:r>
        <w:rPr>
          <w:rFonts w:ascii="Times New Roman" w:cs="Times New Roman" w:eastAsia="Times New Roman" w:hAnsi="Times New Roman"/>
          <w:sz w:val="18"/>
          <w:szCs w:val="18"/>
          <w:color w:val="auto"/>
        </w:rPr>
        <w:t>We closed 33 and 13 company-owned restaurants in 2025 and 2024, respectively, most of which were either generating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negative cash flows, at or approaching the expiration of their leases or in trade areas that are not as well positioned for current consumer trends or a potential for a significant amount of sales transfer given strong off premise sales. We continue to analyze our restaurant portfolio and expect to close approximately 30 to 35 restaurants in 2026, of which 19 have already been closed in the first two months of 2026, that are either generating low or negative cash flows, at or approaching the expiration of their leases or in trade areas that are not as well positioned for current consumer trends or a potential for a significant amount of sales transfer given strong off premise sales.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We impaired fixed assets related to 25 restaurants in 2025 and 16 restaurants in 2024 primarily related to 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decisions on underperforming restaurants. Impairment is based on our current assessment of the expected future cash flows of various restaurants based on recent results and other specific market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 We Use to Evaluate Our Performance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revenue, comparable restaurant sales, average unit volumes (“AUVs”), EBITDA and adjusted EBITDA. EBITDA and adjusted EBITDA are 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includes both restaurant revenue and franchise royalties and fees. Restaurant revenue represents sales of food and beverages in company-owned restaurants. Several factors affect our restaurant revenue in any period, including the number of restaurants in operation and per-restaurant sales.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Franchise royalties and fees represent royalty income and initial franchise fees. While we expect that the majority of our revenue and net income growth will be driven by company-owned restaurants, our franchise restaurants remain an important factor impacting our revenue and financial performance.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Seasonal factors cause our revenue to fluctuate from quarter to quarter. Our revenue per restaurant is typically lower in the first and fourth quarters due to reduced winter and holiday traffic and is typically higher in the second and third quarters. As a result of these factors, our quarterly and annual operating results and comparable restaurant sales may fluctuate.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Comparable restaurant sales refer to year-over-year sales comparisons for the comparable restaurant base. We define the comparable restaurant base to include restaurants open for at least 18 full periods. As of the end of 2025, 2024 and 2023, there were 335, 350 and 355 restaurants, respectively, in our comparable restaurant base for company-owned locations. This measure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highlights performance of existing restaurants, as the impact of new restaurant openings is excluded. Changes in comparable restaurant sales are generated by changes in traffic, which we calculate as the number of entrées sold, and changes in per-person spend, calculated as sales divided by traffic. Per-person spend can be influenced by changes in menu prices and the mix and number of items sold per person.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Measuring our comparable restaurant sales allows us to evaluate the performance of our existing restaurant base. Various factors impact comparable restaurant sales, including, but not limited to:</w:t>
      </w:r>
    </w:p>
    <w:p>
      <w:pPr>
        <w:spacing w:after="0" w:line="16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and seasonal menu items and limited time offerings;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recognition of our brand and our ability to respond to changing consumer preferences;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 particularly those related to consumer spending;</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restaurants effectively and efficiently to meet consumer expectations;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perceived value;</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restaurant transactions, per-person spend and average check amount;</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promotional efforts;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abnormal weather patterns;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concerns;</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pandemics;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national competition;</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area dynamics;</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or trade restrictions; and</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and closing restaurants in the vicinity of other restaurant locations.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common industry practice, we present comparable restaurant sales on a calendar-adjusted basis that aligns current year sales weeks with comparable periods in the prior year, regardless of whether they belong to the same fiscal period or not. Comparable restaurant sales is only one measure of how we evaluate our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Unit Volumes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AUVs consist of the average annualized sales of all company-owned restaurants for a given time period. AUVs are calculated by dividing restaurant revenue by the number of operating days within each time period and multiplying by the number of operating days we have in a typical year. This measurement allows management to assess changes in consumer traffic and per-person spending patterns at our restaurants. In addition to the factors that impact comparable restaurant sales, AUVs can be further impacted by effective real estate site selection and maturity and trends within new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before net interest expense, provision (benefit) for income taxes and depreciation and amortization. We define adjusted EBITDA as net income (loss) before net interest expense, provision (benefit) for income taxes, depreciation and amortization, restaurant impairments, loss on disposal of assets, net lease exit costs (benefits), gain (loss) on sale of restaurants, severance, executive transition costs, corporate transaction costs and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EBITDA and adjusted EBITDA provide clear pictures of our operating results by eliminating certain non-recurring and non-cash expenses that may vary widely from period to period and are not reflective of the underlying business performance.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presentation of EBITDA and adjusted EBITDA, which may not be comparable to similarly titled financial measures used by other companies, is not intended to be considered in isolation or as a substitute for, or to be superior to, the financial information</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prepared and presented in accordance with accounting principles generally accepted in the United States of America (“GAAP”). We use these non-GAAP financial measures for financial and operational decision making and as a means to evaluate period-to-period comparisons. We believe that they provide useful information to management and investors about operating results, enhance the overall understanding of past financial performance and future prospects and allow for greater transparency with respect to key metrics used by management in its financial and operational decision making.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EBITDA and adjusted EBITDA: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940" w:type="dxa"/>
            <w:vAlign w:val="bottom"/>
            <w:tcBorders>
              <w:bottom w:val="single" w:sz="8" w:color="auto"/>
            </w:tcBorders>
          </w:tcPr>
          <w:p>
            <w:pPr>
              <w:spacing w:after="0"/>
              <w:rPr>
                <w:sz w:val="18"/>
                <w:szCs w:val="18"/>
                <w:color w:val="auto"/>
              </w:rPr>
            </w:pPr>
          </w:p>
        </w:tc>
      </w:tr>
      <w:tr>
        <w:trPr>
          <w:trHeight w:val="211"/>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40" w:type="dxa"/>
            <w:vAlign w:val="bottom"/>
          </w:tcPr>
          <w:p>
            <w:pPr>
              <w:spacing w:after="0"/>
              <w:rPr>
                <w:sz w:val="18"/>
                <w:szCs w:val="18"/>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Restaurant impairments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exit costs,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restaurants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executive transition costs and corporate transaction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23,599</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42" w:lineRule="exact"/>
        <w:rPr>
          <w:sz w:val="20"/>
          <w:szCs w:val="20"/>
          <w:color w:val="auto"/>
        </w:rPr>
      </w:pPr>
    </w:p>
    <w:p>
      <w:pPr>
        <w:ind w:left="660" w:hanging="4"/>
        <w:spacing w:after="0" w:line="302" w:lineRule="auto"/>
        <w:tabs>
          <w:tab w:leader="none" w:pos="87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Restaurant impairments in all periods presented above include amounts related to restaurants previously impaired. See Note 6, Restaurant Impairments, Closure Costs and Asset Disposals.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includes the direct costs associated with the food, beverage and packaging of our menu items. Cost of sales also includes any costs related to discounted menu items. Cost of sales is a substantial expense and can be expected to change proportionally as our restaurant revenue changes. Fluctuations in cost of sales are caused primarily by volatility in the cost of commodity food items and related contracts for such items. Other important factors causing fluctuations in cost of sales include seasonality, discounting activity, distribution costs and restaurant level management of food waste.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 costs include wages, payroll taxes, workers’ compensation expense, benefits and incentives paid to our restaurant teams. Similar to certain other expense items, we expect hourly labor costs to change proportionally as our restaurant revenue changes. Factors that influence fluctuations in our labor costs include minimum wage and payroll tax legislation, wage inflation, the frequency and severity of workers’ compensation claims, health care costs and the performance of our restaurants.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Occupancy costs include rent, common area maintenance charges and real estate tax expense related to our restaurants and are expected to grow proportionally as we open new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costs include the costs of repairs and maintenance, utilities, restaurant-level marketing, credit card processing fees, third-party delivery fees, restaurant supplies and other restaurant operating costs. Similar to certain other costs, they are expected to grow proportionally as restaurant revenue grows.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is composed of payroll, other compensation, travel, marketing, accounting and legal fees, insurance and other expenses related to the infrastructure required to support our restaurants. General and administrative expense also includes the non-cash stock compensation expense related to our stock incentive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depreciation and amortization charges relate to depreciation of long-lived assets, such as property, equipment and leasehold improvements, from restaurant construction and ongoing maintenance.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Pre-opening costs relate to the costs incurred prior to the opening of a restaurant. These include management labor costs, staff labor costs during training, food and supplies utilized during training, marketing costs and other pre-opening related costs. Pre-opening costs also include rent recorded between the date of possession and the opening date for our restaurants.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Impairments, Closure Costs and Asset Disposals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Restaurant impairments, closure costs and asset disposals include the net gain or loss on disposal of long-lived assets related to retirements and replacement of equipment or leasehold improvements, lease expenses that the Company is still obligated for, refranchising gains or losses, gains or losses on lease terminations, other restaurant closure costs and impairment charges. Each quarter we evaluate possible impairment of property and equipment at the restaurant level and record an impairment loss whenever we determine that the fair value of these assets is less than their carrying value. There can be no assurance that such evaluations will not result in additional impairment costs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interest on our outstanding indebtedness and amortization of debt issuance costs over the life of the related debt reduced by capitalized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consists of federal, state and local taxes on our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Openings, Closures and Relocations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restaurants opened or closed in the years indicated:</w:t>
      </w:r>
    </w:p>
    <w:p>
      <w:pPr>
        <w:spacing w:after="0" w:line="165"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Company-Owned Restaurants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Divestitures </w:t>
            </w:r>
            <w:r>
              <w:rPr>
                <w:rFonts w:ascii="Times New Roman" w:cs="Times New Roman" w:eastAsia="Times New Roman" w:hAnsi="Times New Roman"/>
                <w:sz w:val="23"/>
                <w:szCs w:val="23"/>
                <w:color w:val="auto"/>
                <w:vertAlign w:val="superscript"/>
              </w:rPr>
              <w:t>(1)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9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Restaurants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Acquisitions </w:t>
            </w:r>
            <w:r>
              <w:rPr>
                <w:rFonts w:ascii="Times New Roman" w:cs="Times New Roman" w:eastAsia="Times New Roman" w:hAnsi="Times New Roman"/>
                <w:sz w:val="23"/>
                <w:szCs w:val="23"/>
                <w:color w:val="auto"/>
                <w:vertAlign w:val="superscript"/>
              </w:rPr>
              <w:t>(1)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9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restaurants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27" w:lineRule="exact"/>
        <w:rPr>
          <w:sz w:val="20"/>
          <w:szCs w:val="20"/>
          <w:color w:val="auto"/>
        </w:rPr>
      </w:pPr>
    </w:p>
    <w:p>
      <w:pPr>
        <w:ind w:left="980" w:hanging="648"/>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2024, we sold six company-owned restaurants to a franchisee.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as a percentage of our total revenue, except for the components of restaurant operating costs, which are expressed as a percentage of restaurant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19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8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14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3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Restaurant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97.9 %</w:t>
            </w: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Franchising royalties and fees, and other</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Costs and expenses:</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Restaurant operating costs (exclusive of depreciation and amortization, shown separately below):</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Labor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Occupancy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restaurant operating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Pre-opening</w:t>
            </w:r>
          </w:p>
        </w:tc>
        <w:tc>
          <w:tcPr>
            <w:tcW w:w="19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Restaurant impairments, closure costs and asset disposals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106.4 %</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105.6 %</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8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compared to Fiscal Year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operating results for 2025 and 2024, and the related year-over-year changes: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80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w w:val="85"/>
              </w:rPr>
              <w:t>%</w:t>
            </w:r>
          </w:p>
        </w:tc>
      </w:tr>
      <w:tr>
        <w:trPr>
          <w:trHeight w:val="23"/>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Restaurant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485,103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483,097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Franchising royalties and fees,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1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495,089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493,271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Costs and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4"/>
        </w:trPr>
        <w:tc>
          <w:tcPr>
            <w:tcW w:w="51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Restaurant operating costs (exclusive of depreciation and</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5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127,168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123,692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Labor</w:t>
            </w: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153,342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154,258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44,621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46,366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restaurant operating costs</w:t>
            </w: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98,876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95,032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49,137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50,824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27,047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29,066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Pre-opening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30"/>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Restaurant impairments, closure costs and asset disposals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26,262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20,268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23"/>
        </w:trPr>
        <w:tc>
          <w:tcPr>
            <w:tcW w:w="5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526,678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521,049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(31,589)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(27,778)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8,381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(42,504)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(36,159)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(42,568)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(36,213)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Company-owned:</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unit volumes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5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Comparable restaurant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increased by $1.8 million, or 0.4%, in 2025 compared to 2024. The increase was primarily due to an $18.2 million increase in company same store sales, a $4.4 million increase from new restaurant revenue mostly offset by a decrease of $18.3 million from permanent restaurant closures and a decrease of $2.5 million from refranchising.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unit volumes increased 5.5% to $1.36 million in 2025 compared to $1.29 million in 2024 primarily due to increases in same store sales and the closure of underperforming restaurants. System-wide comparable restaurant sales increased 4.1% in 2025, comprised of a 4.3% increase at company-owned restaurants and a 3.2% increase at franchise-owned restaurants.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increased by $3.5 million, or 2.8%, in 2025 compared to 2024. As a percentage of restaurant revenue, cost of sales increased to 26.2% in 2025 from 25.6% in 2024, primarily due to a 1.4% impact from a combination of new menu investments, menu mix shifts, and inflation partially offset by a 0.8% benefit from menu price and vendor rebates.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costs decreased by $0.9 million, or 0.6%, in 2025 compared to 2024. As a percentage of restaurant revenue, labor costs decreased to 31.6% in 2025 compared to 31.9% in 2024, primarily due to a 1.1% benefit from sales leverage and a 0.2% benefit from lower incentive pay and benefits partially offset by 0.7% of wage inflation and 0.4% from a temporary increase in labor hours related to the new menu rollout.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Occupancy costs decreased by $1.7 million, or 3.8%, in 2025 compared to 2024, due primarily to restaurant closures. As a percentage of restaurant revenue, occupancy costs decreased to 9.2% in 2025 from 9.6% in 2024, primarily due to sales leverage.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costs increased by $3.8 million, or 4.0%, in 2025 compared to 2024. As a percentage of restaurant revenue, other restaurant operating costs increased to 20.4% in 2025 from 19.7% in 2024, primarily due to 0.5% impact from higher delivery fees driven by higher delivery sales and 0.3% from increased marketing spend.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$1.7 million, or 3.3%, in 2025 compared to 2024, primarily due to a decrease in severance costs, lower stock based compensation, and lower labor costs partially offset by higher marketing expenses and software maintenance. As a percentage of revenue, general and administrative expense decreased to 9.9% in 2025 from 10.3% in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decreased by $2.0 million, or 6.9%, in 2025 compared to 2024, due primarily to restaurants impaired or closed during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revenue, depreciation and amortization decreased to 5.5% in 2025 compared to 5.9% in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Pre-opening costs decreased by $1.3 million, or 85.4%, in 2025 compared to 2024 due to less new restaurant openings in 2025 compared to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Impairments, Closure Costs and Asset Disposals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Restaurant impairments, closure costs and asset disposals increased by $6.0 million, or 29.6%, in 2025 compared to 2024. The increase was largely due to an increase in write-downs of lease related assets and fixed asset impairment charges with 25 restaurants impaired in 2025 compared to 16 restaurants impaired in 2024 primarily related to closure decisions on underperforming restaurants. This was partially offset by a decline in closure costs as a result of lease remeasurement gains. We continue to analyze our restaurant portfolio and expect to close certain restaurants that are either generating low or negative cash flows, at or are approaching the expiration of their leases or in trade areas that are not as well positioned for current consumer trends. Both years include ongoing equipment costs for restaurants previously impaired and lease related costs and expenses in connection with the divestiture of company-owned restaurants in previous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$2.5 million, or 30.2% in 2025 compared to 2024. The increase was primarily due to higher average borrowings in 2025 compared to 2024. Interest rates for all amounts outstanding are variable.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was (0.2)% in 2025 compared to (0.1)% in 2024. We will continue to maintain a valuation allowance against deferred tax assets until there is sufficient evidence to support a full or partial reversal. The reversal of a previously recorded valuation allowance will generally result in a benefit from income tax.</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Resources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30, 2025, our available cash and cash equivalents balance was $1.3 million, and $11.9 million was available for future borrowings under our A&amp;R Credit Agreement.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27, 2022, we amended and restated our Credit Agreement by entering into the Amended and Restated Credit Agreement (as further amended, restated, extended, supplemented, modified and otherwise in effect from time to time, the “A&amp;R Credit Agreement” or the “credit agreement”), with each other Loan Party (as defined in the A&amp;R Credit Agreement) party thereto, each lender from time to time party thereto, and U.S. Bank National Association, as Administrative Agent, L/C Issuer and Swing Line Lender (each as defined in the A&amp;R Credit Agreement). The A&amp;R Credit Agreement matures on July 27, 2027. Among other things, the A&amp;R Credit Agreement: (i) increased the credit facility from $100.0 million to $125.0 million; (ii) eliminated the term loan and principal amortization components of the credit facility; (iii) removed the Company’s capital expenditure covenant; (iv) enhanced flexibility for certain covenants and restrictions; and (v) lowered the spread of the Company’s cost of borrowing and transitioned from the London Interbank Offered Rate (“LIBOR”) to the Secured Overnight Financing Rate (“SOFR”) plus a margin of 1.50% to 2.50% per annum, based upon the consolidated total lease-</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adjusted leverage ratio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A&amp;R Credit Agreement is secured by a pledge of stock of substantially all of the Company’s subsidiaries and a lien on substantially all of the personal property assets of the Company and its subsidiaries. The A&amp;R Credit Agreement was subsequently amended on December 21, 2023.</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29, 2024, the Company further amended its A&amp;R Credit Agreement, by entering into that certain Second Amendment to Amended and Restated Credit Agreement (the “Second Amendment”). Among the modifications, the Second Amendment: (i) increased the maximum applicable rate ranges with respect to certain loans,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and (v) amended the Consolidated Fixed Charge Coverage Ratio (as defined in the A&amp;R Credit Agreement) in Section 7.11(b) of the A&amp;R Credit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30, 2025, the Company had $110.2 million of indebtedness (excluding $1.4 million of unamortized debt issuance costs) and $3.0 million of letters of credit outstanding under the A&amp;R Credit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Availability of borrowings under the A&amp;R Credit Agreement is conditioned upon the Company’s compliance with the terms of the A&amp;R Credit Agreement, including the financial covenants and other customary affirmative and negative covenants, such as limitations on additional borrowings, acquisitions, dividend payments and lease commitments, and customary representations and warranties. As of December 30, 2025, the Company was in compliance with all of its debt covenants.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meet all applicable financial covenants in its A&amp;R Credit Agreement through at least the next four fiscal quarters. However, there can be no assurance that the Company will meet such financial covenants. If such covenants are not met, the Company would be required to seek a waiver or amendment from the banks participating in the credit facility. There can be no assurance that such waiver or amendment would be granted, which could have a material adverse impact on the Company’s liquidity.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outstanding letters of credit to secure obligations under its workers’ compensation program and certain lease obligations. As of December 30, 2025, the Company was in compliance with all of its debt covenants.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revolver, which had a balance of $109.8 million as of December 30, 2025, bore interest at rates between 7.58% to 10.25% during 2025. The Company’s swingline, which had a balance of $0.4 million as of December 30, 2025, bore interest at rates between 9.50% and 10.25% in 2025. The Company recorded interest expense of $10.9 million, $8.4 million and $4.8 million for 2025, 2024 and 2023, respectively, of which $0.9 million, $0.6 million and $0.4 million was amortization of debt issuance costs in each of the respective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investing and financing activities are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85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1220" w:type="dxa"/>
            <w:vAlign w:val="bottom"/>
            <w:tcBorders>
              <w:bottom w:val="single" w:sz="8" w:color="0A2972"/>
            </w:tcBorders>
            <w:gridSpan w:val="2"/>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1120" w:type="dxa"/>
            <w:vAlign w:val="bottom"/>
            <w:tcBorders>
              <w:bottom w:val="single" w:sz="8" w:color="0A2972"/>
            </w:tcBorders>
          </w:tcPr>
          <w:p>
            <w:pPr>
              <w:spacing w:after="0"/>
              <w:rPr>
                <w:sz w:val="2"/>
                <w:szCs w:val="2"/>
                <w:color w:val="auto"/>
              </w:rPr>
            </w:pPr>
          </w:p>
        </w:tc>
      </w:tr>
      <w:tr>
        <w:trPr>
          <w:trHeight w:val="131"/>
        </w:trPr>
        <w:tc>
          <w:tcPr>
            <w:tcW w:w="8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11"/>
                <w:szCs w:val="11"/>
                <w:color w:val="auto"/>
              </w:rPr>
            </w:pPr>
          </w:p>
        </w:tc>
        <w:tc>
          <w:tcPr>
            <w:tcW w:w="1120" w:type="dxa"/>
            <w:vAlign w:val="bottom"/>
          </w:tcPr>
          <w:p>
            <w:pPr>
              <w:jc w:val="right"/>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60" w:type="dxa"/>
            <w:vAlign w:val="bottom"/>
          </w:tcPr>
          <w:p>
            <w:pPr>
              <w:spacing w:after="0"/>
              <w:rPr>
                <w:sz w:val="16"/>
                <w:szCs w:val="16"/>
                <w:color w:val="auto"/>
              </w:rPr>
            </w:pPr>
          </w:p>
        </w:tc>
        <w:tc>
          <w:tcPr>
            <w:tcW w:w="180" w:type="dxa"/>
            <w:vAlign w:val="bottom"/>
            <w:tcBorders>
              <w:bottom w:val="single" w:sz="8" w:color="0A2972"/>
            </w:tcBorders>
          </w:tcPr>
          <w:p>
            <w:pPr>
              <w:spacing w:after="0"/>
              <w:rPr>
                <w:sz w:val="16"/>
                <w:szCs w:val="16"/>
                <w:color w:val="auto"/>
              </w:rPr>
            </w:pPr>
          </w:p>
        </w:tc>
        <w:tc>
          <w:tcPr>
            <w:tcW w:w="1100" w:type="dxa"/>
            <w:vAlign w:val="bottom"/>
            <w:tcBorders>
              <w:bottom w:val="single" w:sz="8" w:color="0A2972"/>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0A2972"/>
            </w:tcBorders>
          </w:tcPr>
          <w:p>
            <w:pPr>
              <w:spacing w:after="0"/>
              <w:rPr>
                <w:sz w:val="16"/>
                <w:szCs w:val="16"/>
                <w:color w:val="auto"/>
              </w:rPr>
            </w:pPr>
          </w:p>
        </w:tc>
        <w:tc>
          <w:tcPr>
            <w:tcW w:w="160" w:type="dxa"/>
            <w:vAlign w:val="bottom"/>
            <w:tcBorders>
              <w:bottom w:val="single" w:sz="8" w:color="0A2972"/>
            </w:tcBorders>
          </w:tcPr>
          <w:p>
            <w:pPr>
              <w:spacing w:after="0"/>
              <w:rPr>
                <w:sz w:val="16"/>
                <w:szCs w:val="16"/>
                <w:color w:val="auto"/>
              </w:rPr>
            </w:pPr>
          </w:p>
        </w:tc>
        <w:tc>
          <w:tcPr>
            <w:tcW w:w="1120" w:type="dxa"/>
            <w:vAlign w:val="bottom"/>
            <w:tcBorders>
              <w:bottom w:val="single" w:sz="8" w:color="0A2972"/>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6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1"/>
        </w:trPr>
        <w:tc>
          <w:tcPr>
            <w:tcW w:w="85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1100" w:type="dxa"/>
            <w:vAlign w:val="bottom"/>
            <w:tcBorders>
              <w:bottom w:val="single" w:sz="8" w:color="0A297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1120" w:type="dxa"/>
            <w:vAlign w:val="bottom"/>
            <w:tcBorders>
              <w:bottom w:val="single" w:sz="8" w:color="0A2972"/>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 2025 was $7.3 million compared to $7.6 million in 2024. The decrease in operating cash flows resulted primarily from a decrease in net income as adjusted for non-cash items including depreciation and impairments, as well as changes in working capital related to payroll timing and normal changes in accounts payable and other accrued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$14.3 million to $12.4 million in 2025 compared to 2024. This decrease was primarily due to decreased investment in new restaurant openings and restaurant technology in 2025. We opened two and 10 company-owned restaurants in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$5.2 million in 2025, compared to $17.3 million in 2024. The decrease from 2024 was primarily due to a reduction in net borrowings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obligations consist primarily of certain lease and other contractual commitments related to our operations, normal recurring operating expenses, working capital needs, new store development, capital improvements and maintenance of our restaurants, regular interest payments on our debt obligations and certain non-recurring expenditures.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obligations consist primarily of certain lease and other contractual commitments related to our operations and payment of our outstanding debt obligations. In addition, new store development will require capital in each year that we plan to open new restaurants which is expected to be funded by then available cash and cash equivalents, cash flows from operations and our revolving credit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 requirements are primarily dependent upon the pace of our real estate development program and resulting new restaurant openings, costs for maintenance and remodeling of our existing restaurants, as well as information technology expenses and other general corporate capital expenditures. We currently do not plan to open any company-owned restaurants in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capital expenditures for 2025 were $12.4 million primarily related to two new company-owned restaurants, reinvestment in existing restaurants and technology improvements. We expect our 2026 capital expenditures to be in the range of $9.5 million to $10.5 million. Our capital expenditures in 2026 are expected to be primarily related to our reinvestment in existing restaurants.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contractual obligations consist of lease obligations, purchase obligations, long-term debt and other liabilities. See Note 4 Long-Term Debt and Note 12 Leases to our consolidated financial statements for further discussion. We are obligated under non-cancelable leases for our restaurants, administrative offices and equipment. In addition to those lease obligations, we have legally binding minimum lease payments for lease renewals signed but not yet commenced amounting to $0.5 million as of December 30, 2025. We enter into various purchase obligations in the ordinary course of business. As of December 30, 2025, our binding purchase obligations are approximately $57.1 million, which includes $40.5 million to be incurred within the next 12 months. These amounts relate to volume commitments for beverage and food products. Our other liabilities of $1.0 million as of December 30, 2025 includes our commitment under our non-qualified deferred compensation plan and severance.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have sufficient liquidity to meet our liquidity needs and capital resource requirements for at least the next twelve months primarily through currently available cash and cash equivalents, cash flows from operations, and borrowings under the A&amp;R Credit Agreement. Our working capital position benefits from the fact that we generally collect cash from sales to customers the same day, or in the case of credit or debit card transactions, within several days of the related sale, and we typically have up to 30 days to pay our vendors. In addition, we receive trade credit for the purchase of food, beverages and supplies, therefore reducing the need for incremental working capital to support growth.</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Note 1 Business and Summary of Significant Accounting Policies, to our consolidated financial statements. Critical accounting estimates are those that require application of management’s most difficult, subjective or complex judgments, often as a result of matters that are inherently uncertain and may change in subsequent periods. While we apply our judgment based on assumptions believed to be reasonable under the circumstances, actual results could vary from these assumptions. It is possible that materially different amounts would be reported using different assumptions. We believe the critical accounting policies described below affect our more significant judgments and estimates used in the preparation of our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review long-lived assets, such as property and equipment, right of use assets and intangibles, subject to amortization, for impairment when events or circumstances indicate the carrying value of the assets may not be recoverable. In determining the recoverability of the asset value, an analysis is performed at the individual restaurant level and primarily includes an assessment of historical cash flows and other relevant factors and circumstances. The other factors and circumstances include changes in the economic environment, changes in the manner in which assets are used, unfavorable changes in legal factors or business climate, incurring excess costs in construction of the asset, early lease terminations and closures, overall restaurant operating performance and projections for future performance. These estimates result in a wide range of variability on a year to year basis due to the nature of the criteria. Restaurant-level cash flow less than our internal threshold over the previous 12 periods is considered an indicator of potential impairment. In such situations, we evaluate future undiscounted cash flow projections in conjunction with qualitative factors and future operating plans. Our impairment assessment process requires the use of estimates and assumptions regarding the future undiscounted cash flows and operating outcomes, which are based upon a significant degree of management’s judgment.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performing our impairment testing, we forecast our future undiscounted cash flows by looking at recent restaurant level performance, restaurant level operating plans, sales trends and cost trends for cost of sales, labor and operating expenses. We believe that this combination of information gives us a fair benchmark to estimate future undiscounted cash flows. We compare this cash flow forecast, excluding occupancy rent expense, to the asset’s carrying value, excluding lease liability, at the restaurant. Based on this analysis, if the carrying amount of the assets is greater than the estimated future undiscounted cash flows, an impairment charge is recognized, measured as the amount by which the carrying amount exceeds the fair value of the asset. If these projections are not achieved, we could realize future impairments.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lease all restaurant facilities, office space and certain equipment. Pursuant to FASB Accounting Standards Codification (“ASC”) Topic 842, all operating and finance lease assets and liabilities are recognized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Right of use (“ROU”) assets represent our right to use an underlying asset for the lease term and lease liabilities represent our obligation to make future lease payments arising from the lease. Operating lease ROU assets and liabilities are recorded at commencement date based on the present value of lease payments over the lease term, which includes options to extend lease terms that are reasonably certain of being exercised. To determine the present value of lease payments not yet paid, we estimate incremental borrowing rates corresponding to the reasonably certain lease term. As most of our leases do not provide an implicit rate, we use the incremental borrowing rate based on information available at commencement date in determining the present value of lease payments. Leases with an initial term of 12 months or less are not recorded on the Consolidated Balance Sheets. We recognize lease expense for these short-term leases on a straight-line basis over the lease term.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leases typically contain rent escalations over the lease term. We recognize expense for these leases on a straight-line basis over the lease term. Additionally, tenant incentives used to fund leasehold improvements are recognized when earned and reduce the right-of-use asset related to the lease. These are amortized through the right-of-use asset as reductions of expense over the lease term. Rent expense for the period prior to the restaurant opening is reported as pre-opening expense in the Consolidated Statements of Operations. If our estimates or underlying assumptions, including discount rate and sublease income change in the future, our operating results may be materially impacted.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on debt. Our exposure to interest rate fluctuations is limited to our outstanding borrowing under our A&amp;R Credit Agreement, which bears interest at variable rates equal to SOFR plus a margin of 1.75% to 3.75% per annum, based upon the consolidated total lease-adjusted leverage ratio. As of December 30, 2025, $110.2 million in borrowings were outstanding under our A&amp;R Credit Agreement. An increase or decrease of 1.0% in the effective interest rate applied to our borrowings would have resulted in a pre-tax interest expense fluctuation of approximately $1.1 million on an annualized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purchase certain products that are affected by commodity prices and are, therefore, subject to price volatility caused by weather, market conditions and other factors that are not considered predictable or within our control. Although these products are subject to changes in commodity prices, certain purchasing contracts or pricing arrangements contain risk management techniques designed to minimize price volatility. We use these types of purchasing techniques to control costs as an alternative to directly managing financial instruments to hedge commodity prices. In many cases, we believe we may be able to address material commodity cost increases by adjusting our menu pricing, but multiple price increases over a short period of time may negatively affect customer behavior, as we observed in 2023. We have evaluated and will continue to evaluate the impact of import laws and tariffs on our operations as some of our food items are imported from India, Mexico and other countries. As of December 30, 2025, there was no material impact on our business, financial condition, results of operations or cash flows. However, tariffs continue to change and we expect tariffs may impact our operations in certain areas, such as food and beverage costs, construction and equipment costs and other restaurant operating costs, into 2026. We will continue to utilize fixed price contracts for certain key items to mitigate risk. However, increases in commodity prices, without adjustments to our menu prices, could increase restaurant operating costs as a percentage of restaurant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primary inflationary factors affecting our operations are food costs, labor costs, energy costs and materials used in the construction of new restaurants and maintenance of existing restaurants. Increases in federal, state or local minimum wages directly affect our labor costs. Many of our leases require us to pay taxes, maintenance, repairs, insurance and utilities, all of which are generally subject to inflationary increases. Additionally, the cost of constructing our restaurants is subject to inflationary increases in the costs of labor and material. We expect inflation may continue to affect our results in the near future.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0" w:type="dxa"/>
            <w:vAlign w:val="bottom"/>
            <w:gridSpan w:val="5"/>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Noodles &amp; Company</w:t>
            </w:r>
          </w:p>
        </w:tc>
        <w:tc>
          <w:tcPr>
            <w:tcW w:w="18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860" w:type="dxa"/>
            <w:vAlign w:val="bottom"/>
            <w:gridSpan w:val="6"/>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11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0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30, 2025 and December 31, 2024</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42</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30, 2025, December 31, 2024 and January 2, 2024</w:t>
            </w:r>
          </w:p>
        </w:tc>
        <w:tc>
          <w:tcPr>
            <w:tcW w:w="2320" w:type="dxa"/>
            <w:vAlign w:val="bottom"/>
            <w:gridSpan w:val="3"/>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10"/>
        </w:trPr>
        <w:tc>
          <w:tcPr>
            <w:tcW w:w="20" w:type="dxa"/>
            <w:vAlign w:val="bottom"/>
          </w:tcPr>
          <w:p>
            <w:pPr>
              <w:spacing w:after="0"/>
              <w:rPr>
                <w:sz w:val="18"/>
                <w:szCs w:val="18"/>
                <w:color w:val="auto"/>
              </w:rPr>
            </w:pPr>
          </w:p>
        </w:tc>
        <w:tc>
          <w:tcPr>
            <w:tcW w:w="10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 for the years ended December 30, 2025, December 31, 2024 and January 2, 2024</w:t>
            </w:r>
          </w:p>
        </w:tc>
        <w:tc>
          <w:tcPr>
            <w:tcW w:w="9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20" w:type="dxa"/>
            <w:vAlign w:val="bottom"/>
          </w:tcPr>
          <w:p>
            <w:pPr>
              <w:spacing w:after="0"/>
              <w:rPr>
                <w:sz w:val="18"/>
                <w:szCs w:val="18"/>
                <w:color w:val="auto"/>
              </w:rPr>
            </w:pPr>
          </w:p>
        </w:tc>
        <w:tc>
          <w:tcPr>
            <w:tcW w:w="11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30, 2025, December 31, 2024 and January 2,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09"/>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80" w:type="dxa"/>
            <w:vAlign w:val="bottom"/>
            <w:tcBorders>
              <w:top w:val="single" w:sz="8" w:color="0000FF"/>
            </w:tcBorders>
            <w:gridSpan w:val="4"/>
          </w:tcPr>
          <w:p>
            <w:pPr>
              <w:spacing w:after="0"/>
              <w:rPr>
                <w:sz w:val="18"/>
                <w:szCs w:val="18"/>
                <w:color w:val="auto"/>
              </w:rPr>
            </w:pPr>
          </w:p>
        </w:tc>
        <w:tc>
          <w:tcPr>
            <w:tcW w:w="22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9"/>
        </w:trPr>
        <w:tc>
          <w:tcPr>
            <w:tcW w:w="20" w:type="dxa"/>
            <w:vAlign w:val="bottom"/>
          </w:tcPr>
          <w:p>
            <w:pPr>
              <w:spacing w:after="0"/>
              <w:rPr>
                <w:sz w:val="18"/>
                <w:szCs w:val="18"/>
                <w:color w:val="auto"/>
              </w:rPr>
            </w:pPr>
          </w:p>
        </w:tc>
        <w:tc>
          <w:tcPr>
            <w:tcW w:w="11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w:t>
            </w:r>
            <w:r>
              <w:rPr>
                <w:rFonts w:ascii="Times New Roman" w:cs="Times New Roman" w:eastAsia="Times New Roman" w:hAnsi="Times New Roman"/>
                <w:sz w:val="18"/>
                <w:szCs w:val="18"/>
                <w:color w:val="0000FF"/>
                <w:highlight w:val="white"/>
              </w:rPr>
              <w:t>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(PCAOB ID: 248)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30,</w:t>
            </w:r>
          </w:p>
        </w:tc>
        <w:tc>
          <w:tcPr>
            <w:tcW w:w="220" w:type="dxa"/>
            <w:vAlign w:val="bottom"/>
          </w:tcPr>
          <w:p>
            <w:pPr>
              <w:spacing w:after="0"/>
              <w:rPr>
                <w:sz w:val="16"/>
                <w:szCs w:val="16"/>
                <w:color w:val="auto"/>
              </w:rPr>
            </w:pP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receivable</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20,192</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137,237</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Intangibles,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 net</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long-term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304,456</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324,648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7,632</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32,055</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65,717</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100,742</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operating lease liabilities,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156,723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330,227</w:t>
            </w: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stock—$0.01 par value, 1,000,000 shares authorized and undesignated as of December 30, 2025 and</w:t>
            </w:r>
          </w:p>
        </w:tc>
        <w:tc>
          <w:tcPr>
            <w:tcW w:w="200" w:type="dxa"/>
            <w:vAlign w:val="bottom"/>
          </w:tcPr>
          <w:p>
            <w:pPr>
              <w:spacing w:after="0"/>
              <w:rPr>
                <w:sz w:val="14"/>
                <w:szCs w:val="14"/>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December 31, 2024; no shares issued or outstanding</w:t>
            </w:r>
          </w:p>
        </w:tc>
        <w:tc>
          <w:tcPr>
            <w:tcW w:w="2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stock—$0.01 par value, 180,000,000 shares authorized as of December 30, 2025 and December 31,</w:t>
            </w: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CCEEFF"/>
          </w:tcPr>
          <w:p>
            <w:pPr>
              <w:ind w:left="400"/>
              <w:spacing w:after="0" w:line="162" w:lineRule="exact"/>
              <w:rPr>
                <w:sz w:val="20"/>
                <w:szCs w:val="20"/>
                <w:color w:val="auto"/>
              </w:rPr>
            </w:pPr>
            <w:r>
              <w:rPr>
                <w:rFonts w:ascii="Times New Roman" w:cs="Times New Roman" w:eastAsia="Times New Roman" w:hAnsi="Times New Roman"/>
                <w:sz w:val="16"/>
                <w:szCs w:val="16"/>
                <w:color w:val="auto"/>
              </w:rPr>
              <w:t>2024; 6,155,333 issued and 5,852,349 outstanding as of December 30, 2025; 6,020,235 issued and 5,717,251</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00"/>
              <w:spacing w:after="0" w:line="216" w:lineRule="exact"/>
              <w:rPr>
                <w:sz w:val="20"/>
                <w:szCs w:val="20"/>
                <w:color w:val="auto"/>
              </w:rPr>
            </w:pPr>
            <w:r>
              <w:rPr>
                <w:rFonts w:ascii="Times New Roman" w:cs="Times New Roman" w:eastAsia="Times New Roman" w:hAnsi="Times New Roman"/>
                <w:sz w:val="16"/>
                <w:szCs w:val="16"/>
                <w:color w:val="auto"/>
              </w:rPr>
              <w:t xml:space="preserve">outstanding as of December 31, 2024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Treasury stock, at cost, 302,984 shares as of December 30, 2025 and December 31, 2024, respectively</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213,818</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(184,457)</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261,671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324,648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Shares have been retroactively adjusted to reflect the decreased number of shares resulting from a 1-for-8 reverse stock split.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59"/>
        </w:trPr>
        <w:tc>
          <w:tcPr>
            <w:tcW w:w="7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3"/>
                <w:szCs w:val="13"/>
                <w:color w:val="auto"/>
              </w:rPr>
            </w:pPr>
          </w:p>
        </w:tc>
        <w:tc>
          <w:tcPr>
            <w:tcW w:w="112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January 2,</w:t>
            </w:r>
          </w:p>
        </w:tc>
      </w:tr>
      <w:tr>
        <w:trPr>
          <w:trHeight w:val="214"/>
        </w:trPr>
        <w:tc>
          <w:tcPr>
            <w:tcW w:w="7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485,103</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483,097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492,648</w:t>
            </w:r>
          </w:p>
        </w:tc>
      </w:tr>
      <w:tr>
        <w:trPr>
          <w:trHeight w:val="21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Franchising royalties and fees,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10,757</w:t>
            </w:r>
          </w:p>
        </w:tc>
      </w:tr>
      <w:tr>
        <w:trPr>
          <w:trHeight w:val="207"/>
        </w:trPr>
        <w:tc>
          <w:tcPr>
            <w:tcW w:w="7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495,089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493,271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503,405</w:t>
            </w: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Costs and expenses: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Restaurant operating costs (exclusive of depreciation and amortization shown separately below):</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7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124,102</w:t>
            </w:r>
          </w:p>
        </w:tc>
      </w:tr>
      <w:tr>
        <w:trPr>
          <w:trHeight w:val="213"/>
        </w:trPr>
        <w:tc>
          <w:tcPr>
            <w:tcW w:w="7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Labor</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157,608</w:t>
            </w:r>
          </w:p>
        </w:tc>
      </w:tr>
      <w:tr>
        <w:trPr>
          <w:trHeight w:val="219"/>
        </w:trPr>
        <w:tc>
          <w:tcPr>
            <w:tcW w:w="7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Occupancy</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45,925</w:t>
            </w:r>
          </w:p>
        </w:tc>
      </w:tr>
      <w:tr>
        <w:trPr>
          <w:trHeight w:val="213"/>
        </w:trPr>
        <w:tc>
          <w:tcPr>
            <w:tcW w:w="7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restaurant operating costs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91,559</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51,833</w:t>
            </w: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26,792</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r>
      <w:tr>
        <w:trPr>
          <w:trHeight w:val="21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 impairments, closure costs and asset disposals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8,400</w:t>
            </w:r>
          </w:p>
        </w:tc>
      </w:tr>
      <w:tr>
        <w:trPr>
          <w:trHeight w:val="212"/>
        </w:trPr>
        <w:tc>
          <w:tcPr>
            <w:tcW w:w="7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526,678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521,049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508,434</w:t>
            </w:r>
          </w:p>
        </w:tc>
      </w:tr>
      <w:tr>
        <w:trPr>
          <w:trHeight w:val="207"/>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w:t>
            </w:r>
          </w:p>
        </w:tc>
      </w:tr>
      <w:tr>
        <w:trPr>
          <w:trHeight w:val="207"/>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(9,832)</w:t>
            </w: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(42,568)</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(9,856)</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7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7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Loss per Class A and Class B common stock, combined</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7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9"/>
        </w:trPr>
        <w:tc>
          <w:tcPr>
            <w:tcW w:w="71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Weighted average Class A and Class B common stock outstanding, combined</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7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5,787,255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5,683,216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5,732,965</w:t>
            </w:r>
          </w:p>
        </w:tc>
      </w:tr>
      <w:tr>
        <w:trPr>
          <w:trHeight w:val="219"/>
        </w:trPr>
        <w:tc>
          <w:tcPr>
            <w:tcW w:w="7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5,787,255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5,732,965</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ind w:left="180" w:hanging="172"/>
        <w:spacing w:after="0" w:line="218" w:lineRule="auto"/>
        <w:tabs>
          <w:tab w:leader="none" w:pos="1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Shares and per share amounts have been retroactively adjusted to reflect the decreased number of shares resulting from a 1-for-8 reverse stock split.</w:t>
      </w:r>
    </w:p>
    <w:p>
      <w:pPr>
        <w:spacing w:after="0" w:line="1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780" w:type="dxa"/>
            <w:vAlign w:val="bottom"/>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54"/>
        </w:trPr>
        <w:tc>
          <w:tcPr>
            <w:tcW w:w="39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Times New Roman" w:cs="Times New Roman" w:eastAsia="Times New Roman" w:hAnsi="Times New Roman"/>
                <w:sz w:val="6"/>
                <w:szCs w:val="6"/>
                <w:b w:val="1"/>
                <w:bCs w:val="1"/>
                <w:color w:val="auto"/>
              </w:rPr>
              <w:t>Paid-In</w:t>
            </w:r>
          </w:p>
        </w:tc>
        <w:tc>
          <w:tcPr>
            <w:tcW w:w="100" w:type="dxa"/>
            <w:vAlign w:val="bottom"/>
          </w:tcPr>
          <w:p>
            <w:pPr>
              <w:spacing w:after="0"/>
              <w:rPr>
                <w:sz w:val="4"/>
                <w:szCs w:val="4"/>
                <w:color w:val="auto"/>
              </w:rPr>
            </w:pPr>
          </w:p>
        </w:tc>
        <w:tc>
          <w:tcPr>
            <w:tcW w:w="94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100" w:type="dxa"/>
            <w:vAlign w:val="bottom"/>
          </w:tcPr>
          <w:p>
            <w:pPr>
              <w:spacing w:after="0"/>
              <w:rPr>
                <w:sz w:val="4"/>
                <w:szCs w:val="4"/>
                <w:color w:val="auto"/>
              </w:rPr>
            </w:pPr>
          </w:p>
        </w:tc>
        <w:tc>
          <w:tcPr>
            <w:tcW w:w="880" w:type="dxa"/>
            <w:vAlign w:val="bottom"/>
          </w:tcPr>
          <w:p>
            <w:pPr>
              <w:jc w:val="center"/>
              <w:ind w:right="39"/>
              <w:spacing w:after="0" w:line="54" w:lineRule="exact"/>
              <w:rPr>
                <w:sz w:val="20"/>
                <w:szCs w:val="20"/>
                <w:color w:val="auto"/>
              </w:rPr>
            </w:pPr>
            <w:r>
              <w:rPr>
                <w:rFonts w:ascii="Times New Roman" w:cs="Times New Roman" w:eastAsia="Times New Roman" w:hAnsi="Times New Roman"/>
                <w:sz w:val="6"/>
                <w:szCs w:val="6"/>
                <w:b w:val="1"/>
                <w:bCs w:val="1"/>
                <w:color w:val="auto"/>
              </w:rPr>
              <w:t>Stockholders’</w:t>
            </w:r>
          </w:p>
        </w:tc>
      </w:tr>
      <w:tr>
        <w:trPr>
          <w:trHeight w:val="196"/>
        </w:trPr>
        <w:tc>
          <w:tcPr>
            <w:tcW w:w="3980" w:type="dxa"/>
            <w:vAlign w:val="bottom"/>
          </w:tcPr>
          <w:p>
            <w:pPr>
              <w:spacing w:after="0"/>
              <w:rPr>
                <w:sz w:val="17"/>
                <w:szCs w:val="17"/>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6"/>
                <w:szCs w:val="16"/>
                <w:b w:val="1"/>
                <w:bCs w:val="1"/>
                <w:color w:val="auto"/>
                <w:vertAlign w:val="superscript"/>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6"/>
                <w:szCs w:val="16"/>
                <w:b w:val="1"/>
                <w:bCs w:val="1"/>
                <w:color w:val="auto"/>
                <w:vertAlign w:val="superscript"/>
              </w:rPr>
              <w:t>(2)</w:t>
            </w:r>
          </w:p>
        </w:tc>
        <w:tc>
          <w:tcPr>
            <w:tcW w:w="2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7"/>
                <w:szCs w:val="17"/>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r>
      <w:tr>
        <w:trPr>
          <w:trHeight w:val="16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Balance—January 3,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6,058,037</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302,984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8"/>
              </w:rPr>
              <w:t>(35,000)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211,691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(138,388)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38,364</w:t>
            </w:r>
          </w:p>
        </w:tc>
      </w:tr>
      <w:tr>
        <w:trPr>
          <w:trHeight w:val="170"/>
        </w:trPr>
        <w:tc>
          <w:tcPr>
            <w:tcW w:w="3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plan transactions and 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85,155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w:t>
            </w:r>
          </w:p>
        </w:tc>
      </w:tr>
      <w:tr>
        <w:trPr>
          <w:trHeight w:val="181"/>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repurchased and retired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(216,494)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(5,004)</w:t>
            </w:r>
          </w:p>
        </w:tc>
      </w:tr>
      <w:tr>
        <w:trPr>
          <w:trHeight w:val="170"/>
        </w:trPr>
        <w:tc>
          <w:tcPr>
            <w:tcW w:w="3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4,305</w:t>
            </w:r>
          </w:p>
        </w:tc>
      </w:tr>
      <w:tr>
        <w:trPr>
          <w:trHeight w:val="181"/>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(9,856)</w:t>
            </w:r>
          </w:p>
        </w:tc>
      </w:tr>
      <w:tr>
        <w:trPr>
          <w:trHeight w:val="163"/>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Balance—January 2, 2024</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5,926,698</w:t>
            </w: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302,984</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w w:val="98"/>
              </w:rPr>
              <w:t>(35,000)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210,345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(148,244)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27,160</w:t>
            </w:r>
          </w:p>
        </w:tc>
      </w:tr>
      <w:tr>
        <w:trPr>
          <w:trHeight w:val="181"/>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plan transactions and 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93,537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70"/>
        </w:trPr>
        <w:tc>
          <w:tcPr>
            <w:tcW w:w="3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w:t>
            </w:r>
          </w:p>
        </w:tc>
      </w:tr>
      <w:tr>
        <w:trPr>
          <w:trHeight w:val="181"/>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(36,213)</w:t>
            </w:r>
          </w:p>
        </w:tc>
      </w:tr>
      <w:tr>
        <w:trPr>
          <w:trHeight w:val="163"/>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Balance—December 31, 2024</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6,020,235</w:t>
            </w: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302,984</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w w:val="98"/>
              </w:rPr>
              <w:t>(35,000)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213,818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(184,457)</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(5,579)</w:t>
            </w:r>
          </w:p>
        </w:tc>
      </w:tr>
      <w:tr>
        <w:trPr>
          <w:trHeight w:val="181"/>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plan transactions and 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135,098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70"/>
        </w:trPr>
        <w:tc>
          <w:tcPr>
            <w:tcW w:w="3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w:t>
            </w:r>
          </w:p>
        </w:tc>
      </w:tr>
      <w:tr>
        <w:trPr>
          <w:trHeight w:val="176"/>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(42,568)</w:t>
            </w: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Balance—December 30,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6,155,333</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302,984</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w w:val="98"/>
              </w:rPr>
              <w:t>(35,000)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216,658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(227,025)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(45,305)</w:t>
            </w:r>
          </w:p>
        </w:tc>
      </w:tr>
      <w:tr>
        <w:trPr>
          <w:trHeight w:val="21"/>
        </w:trPr>
        <w:tc>
          <w:tcPr>
            <w:tcW w:w="3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noted, activity relates to Class A common stock.</w:t>
      </w:r>
    </w:p>
    <w:p>
      <w:pPr>
        <w:spacing w:after="0" w:line="14" w:lineRule="exact"/>
        <w:rPr>
          <w:rFonts w:ascii="Times New Roman" w:cs="Times New Roman" w:eastAsia="Times New Roman" w:hAnsi="Times New Roman"/>
          <w:sz w:val="13"/>
          <w:szCs w:val="13"/>
          <w:color w:val="auto"/>
        </w:rPr>
      </w:pPr>
    </w:p>
    <w:p>
      <w:pPr>
        <w:ind w:left="660" w:hanging="652"/>
        <w:spacing w:after="0"/>
        <w:tabs>
          <w:tab w:leader="none" w:pos="6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have been retroactively adjusted to reflect the decreased number of shares resulting from a 1-for-8 reverse stock split.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58"/>
        </w:trPr>
        <w:tc>
          <w:tcPr>
            <w:tcW w:w="7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3"/>
                <w:szCs w:val="13"/>
                <w:color w:val="auto"/>
              </w:rPr>
            </w:pPr>
          </w:p>
        </w:tc>
        <w:tc>
          <w:tcPr>
            <w:tcW w:w="112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January 2,</w:t>
            </w:r>
          </w:p>
        </w:tc>
      </w:tr>
      <w:tr>
        <w:trPr>
          <w:trHeight w:val="214"/>
        </w:trPr>
        <w:tc>
          <w:tcPr>
            <w:tcW w:w="7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(42,568)</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(9,856)</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26,792</w:t>
            </w: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impairments, closure costs and asset disposals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w:t>
            </w: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w:t>
            </w: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insurance proceeds received for property damage</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13"/>
        </w:trPr>
        <w:tc>
          <w:tcPr>
            <w:tcW w:w="7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9"/>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13"/>
        </w:trPr>
        <w:tc>
          <w:tcPr>
            <w:tcW w:w="7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w:t>
            </w:r>
          </w:p>
        </w:tc>
      </w:tr>
      <w:tr>
        <w:trPr>
          <w:trHeight w:val="219"/>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213"/>
        </w:trPr>
        <w:tc>
          <w:tcPr>
            <w:tcW w:w="7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9"/>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0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27,495</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(52,043)</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restaurant refranchising</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proceeds received for property damage</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2"/>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(51,800)</w:t>
            </w:r>
          </w:p>
        </w:tc>
      </w:tr>
      <w:tr>
        <w:trPr>
          <w:trHeight w:val="206"/>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(payments) borrowings from swing line loan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borrowings on long-term debt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finance leases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 plan transactions and tax withholding on share-based compensation awards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25,795</w:t>
            </w:r>
          </w:p>
        </w:tc>
      </w:tr>
      <w:tr>
        <w:trPr>
          <w:trHeight w:val="20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Beginning of year</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Noodles &amp; Company (the “Company” or “Noodles &amp; Company”), a Delaware corporation, develops and operates fast-casual restaurants that serve globally-inspired noodle and pasta dishes, soups, salads and appetizers. As of December 30, 2025, the Company had 340 company-owned restaurants and 83 franchise restaurants in 31 states. The Company operates its business as one operating and reportable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Noodles &amp; Company and its subsidiaries. All intercompany balances and transactions are eliminated in consolidation.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53-week fiscal year ending on the Tuesday closest to December 31. Fiscal years 2025, 2024 and 2023 which ended on December 30, 2025, December 31, 2024 and January 2, 2024, respectively, each contained 52 weeks.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4, 2026, the Company's Board of Directors approved a reverse stock split of the Company's issued and outstanding Class A common stock, par value $0.01 per share. The reverse stock split was effectuated on February 18, 2026 at a 1-for-8 ratio (the “Reverse Stock Split”). All issued and outstanding common stock and per share amounts contained in this Report have been adjusted retroactively to reflect the change in capital structure for all periods presented. Refer to Note 18: Subsequent Event for further discussion.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 instruments with an initial maturity of three months or less when purchased to be cash equivalents. Amounts receivable from credit card processors are converted to cash shortly after the related sales transaction and are considered to be cash equivalents because they are both short-term and highly liquid in nature. Amounts receivable from credit card processors as of December 30, 2025 and December 31, 2024, which are included in cash and cash equivalents, were $0.9 million and $0.8 million, respectively. Additionally, the Company records “book overdrafts” when outstanding checks at year end are in excess of cash and cash equivalents. Such book overdrafts are recorded within accounts payable in the accompanying Consolidated Balance Sheets and within operating activities in the accompanying Consolidated Statements of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consists primarily of franchise receivables and vendor rebates, as well as insurance receivables and other miscellaneous receivables arising from the normal course of business. The Company evaluates the collectability of its accounts receivable in accordance with Accounting Standards Update (“ASU”) ASC 326, Financial Instruments - Credit Losses. Based on its evaluation of historical experience, current conditions, and reasonable and supportable forecasts, the Company determined that all amounts were deemed collectible. Accordingly, no allowance for credit losses was recorded as of December 30, 2025 or December 31, 2024. In 2023, the Company recognized $0.5 million of bad debt expense.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Inventories consist of food, beverages, supplies and smallwares, and are stated at the lower of cost (first-in, first-out method) or net realizable value. Smallwares inventory, which consist of the plates, silverware and cooking utensils used in the restaurants, are frequently replaced and are therefore considered current assets. Replacement costs of smallwares inventory are recorded as other restaurant operating costs in the Consolidated Statements of Operations and are expensed as incurred. As of December 30, 2025</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December 31, 2024, smallwares inventory of $6.4 million and $6.7 million, respectively, was included in the accompanying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Expenditures for major renewals and improvements are capitalized, while expenditures for minor replacements and maintenance and repairs are expensed as incurred. Upon retirement or disposal of assets, the accounts are relieved of cost and accumulated depreciation and the related gain or loss is reflected in earnings. Depreciation is calculated using the straight-line method over the estimated useful lives of the assets. Leasehold improvements are amortized over the shorter of the estimated useful life or the lease term, which generally includes option periods that are reasonably certain to be exercised. Depreciation and amortization expense on property and equipment, including assets recorded as finance leases, was $27.0 million, $29.0 million and $26.7 million in 2025, 2024 and 2023,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property and equipment are: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Shorter of lease term or estimated useful life, not to exceed 20 years</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to 15 years</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to 7 years</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internal payroll and payroll-related costs directly related to the successful acquisition, development, design and construction of its new restaurants. Capitalized internal costs were $0.1 million, $0.4 million and $0.5 million in 2025, 2024 and 2023, respectively. Interest incurred on funds used to construct company-owned restaurants is capitalized and amortized over the estimated useful life of the related assets. Capitalized interest totaled $0.1 million, $0.4 million and $0.9 million in 2025, 2024 and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net assets acquired. Goodwill is not subject to amortization, but instead is tested for impairment at least annually (or more often, if necessary) as of the first day of the Company’s fourth fiscal quarter.</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evaluated at the level of the Company’s single operating segment, which also represents the Company’s only reporting unit. In 2025, 2024 and 2023, the Company performed a qualitative impairment assessment. Under this approach, the Company first assesses qualitative factors to determine whether it is more likely than not that the fair value of its reporting unit is less than its carrying amount as a basis for determining whether it is necessary to perform the quantitative goodwill impairment test. The more-likely-than-not threshold is defined as having a likelihood of more than 50 percent. If after performing the qualitative assessment, the Company determines there is less than a 50 percent chance that the fair value of its reporting unit is less than its carrying amount, then performing the quantitative test is unnecessary. Based on the qualitative assessment performed, management does not believe that it is more likely than not that the Company’s goodwill has been impaired.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Company’s analysis, no impairment charges were recognized on goodwill in 2025, 2024 or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Intangibles, net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Intangibles, net consists primarily of reacquired franchise rights and trademarks. The Company amortizes the reacquired franchise rights over the remaining contractual terms of the reacquired franchise area development agreements at the time of acquisition, which ranged from approximately less than one year to seven years as of December 30, 2025. Trademark rights are considered indefinite-lived intangible assets, the carrying value of which are analyzed for impairment at least annually (or more often, if necessary).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are reviewed for impairment on a regular basis, in addition to whenever events or changes in circumstances indicate that the carrying amount of an asset may not be recoverable. Recoverability of assets is measured by a comparison of the carrying amount of the assets to the future undiscounted net cash flows expected to be generated by the assets. Identifiable cash flows are measured at the lowest level for which they are largely independent of the cash flows of other groups of assets and liabilities, generally at the restaurant level. If the assets are determined to be impaired, the amount of impairment recognized is measured by the amount by which the carrying amount of the assets exceeds their fair value. Estimates of future cash flows are based on the Company’s experience and knowledge of local operations. During 2025, 2024 and 2023, the Company recorded impairment charges of certain long-lived assets which are included in restaurant impairments, closure costs and asset disposals in the Consolidated Statements of Operations. See Note 6, Restaurant Impairments, Closure Costs and Asset Disposals. Fair value of the restaurant assets was determined using Level 3 inputs (as described in Note 5,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fees and costs incurred to obtain long-term financing are capitalized and included as a reduction in the net carrying value of long-term debt, net of accumulated amortization. These costs are amortized to interest expense over the term of the related debt. When debt is extinguished prior to its maturity date, the amortization of the remaining unamortized debt issuance costs, or pro-rata portion thereof, is charged to loss on extinguishment of debt. Debt issuance costs of $1.4 million and $2.3 million, net of accumulated amortization, as of December 30, 2025 and December 31, 2024, respectively, are included as a reduction of long-term debt in the Consolidated Balance Sheets.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Programs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self-insures for health, workers’ compensation, general liability and property damage. Predetermined loss limits have been arranged with insurance companies to limit the Company’s per occurrence cash outlay. Estimated costs to settle reported claims and incurred but unreported claims for health and workers’ compensation self-insured plans are recorded in accrued payroll and benefits and for general liability and property damage in accrued expenses and other current liabilities in the Consolidated Balance Sheets.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Company’s cash balances may exceed federally insured limits. Credit card transactions at the Company’s restaurants are processed by one service provider. Concentration of credit risk related to accounts receivable are limited, as the Company’s receivables are primarily amounts due from franchisees and the Company directly pulls the amounts owed from the franchisees bank accounts.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consists of sales from restaurant operations and franchise royalties and fees. Revenue from the operation of company-owned restaurants is recognized when sales occur. The Company reports revenue net of sales and use taxes collected from customers and remitted to governmental taxing authorities. Delivery services are fulfilled by third-party service providers. In some cases, the Company makes delivery through its website or mobile app. In other cases, the Company makes delivery sales through a non-company owned channel, such as the delivery partner's website or mobile app. With respect to sales made through the Company website or mobile app, the Company controls the delivery services and generally recognizes revenue, including delivery fees, when the delivery partner transfers food to the guest. For those sales, the Company receives payment directly from the guest at the time of sale. With respect to sale not through the Company website or mobile app, the Company generally recognizes revenue, excluding delivery fees collected by the delivery parter, when control of the food is transferred to the guest. The Company receives payment from the delivery partner subsequent to the transfer of food and the payment terms are short-term in nature.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Gift Cards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gift cards which do not have an expiration date, and it does not deduct non-usage fees from outstanding gift card balances. The Company recognizes revenue from gift cards when the gift card is redeemed by the customer or the Company determines the likelihood of the gift card being redeemed by the customer is remote (“gift card breakage”). The determination of the gift card breakage rate is based upon Company-specific historical redemption patterns. The Company has determined that approximately 15% of gift cards will not be redeemed, which is recognized ratably over the estimated redemption period of the gift card, approximately 24 months.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Loyalty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the Noodles Rewards program, which is primarily a spend-based loyalty program. With each purchase, Noodles Rewards members earn loyalty points that can be redeemed for rewards, including free products. Using an estimate of the value of reward redemptions, we defer revenue associated with points earned, net of estimated points that will not be redeemed. Points generally expire after six months. Revenue is recognized in a future period when the reward points are redeemed.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Royalties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Royalties from franchise restaurants are based on a percentage of restaurant revenues and are recognized in the period the related franchised restaurants’ sales occur. Development fees and franchise fees, portions of which are collected in advance, are nonrefundable. The Company has determined that the initial franchise services are not distinct from the continuing rights or services offered during the term of the franchise agreement and should be treated as a single performance obligation; therefore, such fees are recognized in income ratably over the term of the related franchise agreement or recognized upon the termination of the agreement between the Company and the franchisee.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30, 2025, December 31, 2024 and January 2, 2024, there were 83, 92 and 90 franchise restaurants in operation, respectively. Franchisees opened three restaurants in 2024. Nine franchise restaurants closed in 2025, seven franchise restaurants closed in 2024 and three closed in 2023. In addition, there were six company-owned locations acquired by a franchisee in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Sublease Income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sublease income related to leases for which the Company remains obligated. The Company has entered into transactions to sell company-owned restaurants to franchisees. The lease agreements for those restaurants were assigned to the franchisee, but in some instances, the Company was not relieved of its primary obligations under the main lease, therefore these leases are treated as subleases. The lease income on these locations has been recorded in franchising royalties and fees, and other and the offsetting lease expense has been recorded in restaurant impairments, closure costs and asset disposals in the Consolidated Statement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Pre-opening costs, including rent, wages, benefits and travel for the training and opening teams, food, beverage and other restaurant operating costs, are expensed as incurred prior to a restaurant opening for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and marketing costs are expensed as incurred and were $14.8 million, $12.7 million and $10.8 million in 2025, 2024 and 2023, respectively. These costs are included in other restaurant operating costs, general and administrative expenses and pre-opening costs based on the nature of the advertising and marketing costs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Rent expense for the Company’s leases, which generally have escalating rentals over the term of the lease, is recorded on a straight-line basis over the lease term. Additionally, tenant incentives used to fund leasehold improvements are recognized when earned and reduce the right-of-use asset related to the lease. These are amortized through the right-of-use asset as reductions of expense over the lease term. Some of the Company’s leases include rent escalations based on inflation indexes and fair market value adjustments. Certain leases contain contingent rental provisions that include a fixed base rent plus an additional percentage of the restaurant’s sales in excess of stipulated amounts. Lease expense associated with rent escalation and contingent rental provisions is not material and is included within operating lease cost. Operating lease liabilities are calculated using the prevailing index or rate at lease commencement. Subsequent escalations in the index or rate and contingent rental payments are recognized as variable lease expenses. Our lease agreements do not contain any material residual value guarantees or material restrictive covenants.</w:t>
      </w:r>
    </w:p>
    <w:p>
      <w:pPr>
        <w:spacing w:after="0" w:line="12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used its incremental borrowing rate based on the information available at commencement date in determining the present value of lease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Provision (benefit) for income taxes is accounted for under the asset and liability method. Deferred tax assets and liabilities are recognized for the future tax consequences attributable to differences between the financial statement carrying amounts of</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existing assets and liabilities and their respective tax bases and operating loss and tax credit carry forwards. Deferred tax assets and liabilities are measured using enacted tax rates expected to apply to taxable income in the years in which those deferred amounts are expected to be recovered or settled. Valuation allowances are recorded for deferred tax assets that more likely than not will not be realized. The effect on deferred tax assets and liabilities of a change in tax rates is recognized in income in the period that includes the enactment date. The Company’s policy is to recognize interest to be paid on an underpayment of income taxes in interest expense and any related statutory penalties in provision (benefit) for income taxes in the Consolidated Statements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based upon the estimated fair value of the portion of the award that is ultimately expected to vest and is recognized as expense over the applicable vesting period of the award generally using the straight-line method (see Note 9, Stock-Based Compensation for more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adopted ASU No. 2023-09 during the year ended December 30, 2025. See Note 7, Income Taxes for further detail.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Supplemental 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Delivery program receivables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rebate receivables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receivables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 (in thousands):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83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occupancy related costs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230,211</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(274,507)</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137,237</w:t>
            </w: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payroll and benefits consist of the following (in thousands):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8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8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liability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related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liability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restaurant expense accruals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corporate expense accruals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no goodwill impairment charges in 2025, 2024 or 2023. As of December 30, 2025 and December 31, 2024, the goodwill balance remained at $7.2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intangible assets subject to amortization as of December 30, 2025 and December 31, 2024,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6"/>
              </w:rPr>
              <w:t>933</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53"/>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 net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6"/>
              </w:rPr>
              <w:t>241</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Non-amortized intangible assets: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 rights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6"/>
              </w:rPr>
              <w:t>254</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6"/>
              </w:rPr>
              <w:t>495</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4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NOODLES &amp; COMPANY</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884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10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810"/>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aggregate future amortization expense as of December 30, 2025 is as follows, (in thousands):</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2"/>
        </w:trPr>
        <w:tc>
          <w:tcPr>
            <w:tcW w:w="8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2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88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charges were recorded related to non-amortized intangible assets in 2025, 2024 or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27, 2022, the Company entered into the Amended and Restated Credit Agreement (as further amended, restated, extended, supplemented, modified and otherwise in effect from time to time, the “A&amp;R Credit Agreement”), with each other Loan Party (as defined in the A&amp;R Credit Agreement) party thereto, each lender from time to time party thereto, and U.S. Bank National Association, as Administrative Agent, L/C Issuer and Swing Line Lender (each as defined in the A&amp;R Credit Agreement). The A&amp;R Credit Agreement matures on July 27, 2027. Among other things, the A&amp;R Credit Agreement:</w:t>
      </w:r>
    </w:p>
    <w:p>
      <w:pPr>
        <w:spacing w:after="0" w:line="3" w:lineRule="exact"/>
        <w:rPr>
          <w:sz w:val="20"/>
          <w:szCs w:val="20"/>
          <w:color w:val="auto"/>
        </w:rPr>
      </w:pPr>
    </w:p>
    <w:p>
      <w:pPr>
        <w:jc w:val="both"/>
        <w:ind w:firstLine="8"/>
        <w:spacing w:after="0" w:line="252" w:lineRule="auto"/>
        <w:tabs>
          <w:tab w:leader="none" w:pos="2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credit facility from $100.0 million to $125.0 million; (ii) eliminated the term loan and principal amortization components of the credit facility; (iii) removed the Company’s capital expenditure covenant; (iv) enhanced flexibility for certain covenants and restrictions; and (v) lowered the spread of the Company’s cost of borrowing and transitioned from the London Interbank Offered Rate (“LIBOR”) to the Secured Overnight Financing Rate (“SOFR”) plus a margin of 1.50% to 2.50% per annum, based upon the consolidated total lease-adjusted leverage ratio. The A&amp;R Credit Agreement is secured by a pledge of stock of substantially all of the Company’s subsidiaries and a lien on substantially all of the personal property assets of the Company and its subsidiaries. The A&amp;R Credit Agreement was subsequently amended on December 21, 2023.</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29, 2024, the Company further amended its A&amp;R Credit Agreement, by entering into that certain Second Amendment to Amended and Restated Credit Agreement (the “Second Amendment”). Among the modifications, the Second Amendment: (i) increased the maximum applicable rate ranges with respect to certain loans,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to be no greater than (x) 5.50 to 1.00 for the fiscal quarter ending on October 1, 2024 until and including the last day of the fiscal quarter ending September 30, 2025 and (y) stepping down to (1) 5.25 to 1.00 for the fiscal quarter ending December 30, 2025, (2) 5.00 to 1.00 for the fiscal quarters ending March 31, 2026 and June 30, 2026, (3) 4.75 to 1.00 for the fiscal quarters ending September 29, 2026 and December 29, 2026 and (4) 4.50 to 1.00 for the fiscal quarter ended March 30, 2027 and thereafter and (v) amended the Consolidated Fixed Charge Coverage Ratio (as defined in the A&amp;R Credit Agreement) in Section 7.11(b) of the A&amp;R Credit Agreement to be no less than (x) 1.05 to 1.00 for the fiscal quarter ending on October 1, 2024 until and including the last day of the fiscal quarter ending September 30, 2025 and (y) stepping up to (1) 1.15 to 1.00 for the fiscal quarters ending December 30, 2025 and March 31, 2026 and (2) 1.25 to 1.00 for the fiscal quarter ending June 30, 2026 and thereafter.</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30, 2025, the Company had $110.2 million of indebtedness (excluding $1.4 million of unamortized debt issuance costs) and $3.0 million of letters of credit outstanding under the A&amp;R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Availability of borrowings under the A&amp;R Credit Agreement is conditioned upon the Company’s compliance with the terms of the A&amp;R Credit Agreement, including the financial covenants and other customary affirmative and negative covenants, such as limitations on additional borrowings, acquisitions, dividend payments and lease commitments, and customary representations and warranties. As of December 30, 2025, the Company was in compliance with all of its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meet all applicable financial covenants in its A&amp;R Credit Agreement through at least the next four fiscal quarters. However, there can be no assurance that the Company will meet such financial covenants. If such covenants are not met, the Company would be required to seek a waiver or amendment from the banks participating in the credit facility. There can be no assurance that such waiver or amendment would be granted, which could have a material adverse impact on the Company’s liquidity.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outstanding letters of credit to secure obligations under its workers’ compensation program and certain lease obligations. As of December 30, 2025, the Company was in compliance with all of its debt covenants.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revolver, which had a balance of $109.8 million as of December 30, 2025, bore interest at rates between 7.58% to 10.25% during 2025. The Company’s swingline, which had a balance of $0.4 million as of December 30, 2025, bore interest at rates between 9.50% and 10.25% in 2025. The Company recorded interest expense of $10.9 million, $8.4 million and $4.8 million for 2025, 2024 and 2023, respectively, of which $0.9 million, $0.6 million and $0.4 million was amortization of debt issuance costs in each of the respective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 The carrying amounts of borrowings approximate fair value as the line of credit and borrowings vary with market interest rates and negotiated terms and conditions are consistent with current market rates. The fair value of the Company’s revolving line of credit borrowings is measured using Level 2 inputs.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recognized or disclosed at fair value in the consolidated financial statements on a non-recurring basis include items such as leasehold improvements, property and equipment, operating lease assets, goodwill and other intangible assets. These assets are measured at fair value if determined to be impaired or when acquired. Adjustments to the fair value of assets measured at fair value on a non-recurring basis as of December 30, 2025 and December 31, 2024, are discussed in Note 6, Restaurant Impairments, Closure Costs and Asset Disposals.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are assigned a level within the fair value hierarchy, depending on the source of the inputs into the calculation.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—Prices or valuation techniques which require inputs that are both significant to the fair value measurement and unobservable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supported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little or no market activity).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Restaurant Impairments, Closure Costs and Asset Disposals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restaurant impairments, closure costs and asset disposals for fiscal years 2025, 2024 and 2023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Restaurant impairments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Closure costs including gains and losses on lease remeasurement</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 and other</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restaurant impairments, closure costs and asset disposals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26,262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20,268</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0"/>
        </w:trPr>
        <w:tc>
          <w:tcPr>
            <w:tcW w:w="6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49" w:lineRule="exact"/>
        <w:rPr>
          <w:sz w:val="20"/>
          <w:szCs w:val="20"/>
          <w:color w:val="auto"/>
        </w:rPr>
      </w:pPr>
    </w:p>
    <w:p>
      <w:pPr>
        <w:ind w:left="640" w:hanging="470"/>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Restaurant impairments and closure costs in all periods presented above include amounts related to restaurants previously impaired or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Impairments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Impairment is based on management’s current assessment of the expected future cash flows of its company-owned restaurants based on recent results and other specific market factors. Impairment expense is a Level 3 fair value measure and is determined by comparing the carrying value of restaurant assets to the estimated fair market value of the restaurant assets at resale value.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identified a group of restaurants that the Company will seek to close on or before their next lease renewal dates, and are unlikely to recover the net book value of their assets. During 2025, the Company recorded fixed asset impairment on 25 restaurants and wrote down lease related assets on 16 restaurants. In 2024, the Company recognized an impairment charge related to the fixed assets on 16 restaurants and a write-down of its lease related assets on seven restaurants. In 2023, the Company impaired the fixed assets on two restaurants and the lease related assets on four restaurants. Additionally, the Company wrote-off its lease related assets on 12 previously closed restaurants in 2025 and two previously closed restaurants in both of 2024 and 2023. All periods include ongoing equipment costs for restaurants previously impaired.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Costs and Lease Remeasurements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Closure costs during 2025, 2024 and 2023 pertain to ongoing costs of restaurants that closed in previous years, as well as costs related to the closure of 33, 13, and six restaurants, respectively. These closure costs were offset by gains of $0.6 million in 2025, $0.6 million in 2024 and $0.2 million in 2023 resulting from lease asset remeasurements and the adjustments to liabilities as lease terminations occur. Closure costs can also include fees from real estate advisors and brokers related to terminations of the leases and charges resulting from final adjustments to liabilities as lease terminations occur.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on Disposal of Assets and Other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periods include asset disposals in the normal course of business and lease related costs and expenses that the Company is still obligated for. In 2024, the Company recognized a gain of $0.5 million from the sale of six company-owned restaurants to a franchisee (“DND Sale”). Losses on disposal of assets and other in 2023 were partially offset by $0.2 million gain on insurance proceeds from property damage.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Expense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sublease expense related to leases for which the Company remains obligated. In previous years, the Company has entered into transactions to sell company-owned restaurants to franchisees. The lease agreements for those restaurants were assigned to the franchisee, but in some instances, the Company was not relieved of its primary obligations under the lease, therefore these leases are treated as subleases. The lease income for these restaurants has been recorded in franchising royalties and fees, and other and the offsetting lease expense has been recorded in restaurant impairments, closure costs and asset disposals in the Consolidated Statement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are as follows for 2025, 2024 and 2023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provision (benefit):</w:t>
            </w:r>
          </w:p>
        </w:tc>
        <w:tc>
          <w:tcPr>
            <w:tcW w:w="2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 provision:</w:t>
            </w:r>
          </w:p>
        </w:tc>
        <w:tc>
          <w:tcPr>
            <w:tcW w:w="2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reconciliation of the income tax (benefit) provision that would result from applying the federal statutory income tax rate to pre-tax income, as shown in the accompanying consolidated statements of operations, is presented below (in thousands) for 2024 and 2023 under the income tax disclosure guidance in effect for those periods. The reconciliation for the year ended December 30, 2025, prepared in accordance with ASU 2023-09, Income Taxes (Topic 740): Improvements to Income Tax Disclosures, is presented separately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(benefit) at federal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(2,065)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(benefit), net of federal tax</w:t>
            </w:r>
          </w:p>
        </w:tc>
        <w:tc>
          <w:tcPr>
            <w:tcW w:w="36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629</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(1,513)</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3,352</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 change</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write-off</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in 2025, the Company adopted ASU 2023-09, Income Taxes (Topic 740): Improvements to Income Tax Disclosures, on a prospective basis. As a result, the following table presents (in thousands) an expanded reconciliation of the statutory federal income tax rate to the Company’s effective income tax rate for the year ended December 30, 2025, in accordance with the enhanced disclosure requirements of the new standard. The reconciliations for 2024 and 2023 above were prepared under the guidance in effect for those periods and have not been retrospectively adjusted. As the Company operates exclusively in the United States, certain reconciling items related to foreign jurisdictions required by ASU 2023-09 are not applicable and have been omitted.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spacing w:after="0"/>
              <w:rPr>
                <w:sz w:val="16"/>
                <w:szCs w:val="16"/>
                <w:color w:val="auto"/>
              </w:rPr>
            </w:pPr>
          </w:p>
        </w:tc>
      </w:tr>
      <w:tr>
        <w:trPr>
          <w:trHeight w:val="23"/>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Amount</w:t>
            </w:r>
          </w:p>
        </w:tc>
        <w:tc>
          <w:tcPr>
            <w:tcW w:w="9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 *</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200" w:type="dxa"/>
            <w:vAlign w:val="bottom"/>
          </w:tcPr>
          <w:p>
            <w:pPr>
              <w:spacing w:after="0"/>
              <w:rPr>
                <w:sz w:val="19"/>
                <w:szCs w:val="19"/>
                <w:color w:val="auto"/>
              </w:rPr>
            </w:pP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Opportunity Tax Credit (WOTC)</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Insurance Contributions Act (FICA) Tip Credit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Excess Tax Benefit from Stock Comp</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Permanent Items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00" w:type="dxa"/>
            <w:vAlign w:val="bottom"/>
          </w:tcPr>
          <w:p>
            <w:pPr>
              <w:spacing w:after="0"/>
              <w:rPr>
                <w:sz w:val="19"/>
                <w:szCs w:val="19"/>
                <w:color w:val="auto"/>
              </w:rPr>
            </w:pP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48"/>
        </w:trPr>
        <w:tc>
          <w:tcPr>
            <w:tcW w:w="85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 taxes in Minnesota made up the majority (greater than 50 percent) of the tax effect in this category.</w:t>
      </w: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 2023-09, Income Taxes (Topic 740): Improvements to Income Tax Disclosures, requires disclosure of cash income taxes paid disaggregated by federal, state, and foreign jurisdictions. The Company adopted the guidance prospectively in 2025; accordingly, cash income taxes paid by jurisdiction are presented below for the year ended December 30, 2025 only. Prior periods are not presented as the disclosure was not required for those periods.</w:t>
      </w: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Company operates exclusively in the United States, cash income taxes paid to foreign jurisdictions are not applicable. In addition, the Company maintains a full valuation allowance on its deferred tax assets and has significant net operating loss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(“NOL”) carryforwards, and as a result, no federal income taxes were paid during the year ended December 30, 2025. The Company also has significant state net operating loss carryforwards and state tax credit carryforwards, and as a result, state income taxes paid during the year were limited to minimum or franchise tax amounts. Total cash taxes paid to all state jurisdictions for the year ended December 30, 2025 was diminimus.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deferred tax assets and liabilities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118,454</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(58,573)</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59,881</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(60,157)</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arise because of the differences in the book and tax bases of certain assets and liabilities. Deferred income tax liabilities and assets consist of the following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carry forwards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47,555</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franchise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intangible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smallwares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(42,340)</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51,739</w:t>
            </w:r>
          </w:p>
        </w:tc>
      </w:tr>
      <w:tr>
        <w:trPr>
          <w:trHeight w:val="230"/>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59,881</w:t>
            </w:r>
          </w:p>
        </w:tc>
      </w:tr>
      <w:tr>
        <w:trPr>
          <w:trHeight w:val="230"/>
        </w:trPr>
        <w:tc>
          <w:tcPr>
            <w:tcW w:w="8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(60,157)</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30, 2025, the Company determined that it was appropriate to maintain a valuation allowance of $70.8 million against U.S. deferred tax assets due to uncertainty regarding the realizability of future tax benefits. The valuation allowance is recorded against net deferred tax assets, exclusive of indefinite-lived assets and liabilities. The Company will maintain the remaining valuation allowance until there is sufficient evidence to support a full or partial reversal. The reversal of a previously recorded valuation allowance will generally result in a benefit to the effective tax rate.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30, 2025 and December 31, 2024, NOL carry forwards for federal income tax purposes of approximately $197.0 million and $184.0 million, respectively, were available to offset future taxable income. Of these amounts, $106.8 million is available to offset future taxable income through 2038 and $90.2 million can be carried forward indefinitely, but can only offset 80% of future taxable income. The Internal Revenue Code Section 382 generally limits the utilization of NOLs when there is an ownership change. Prior to the utilization of NOLs in the future, the Company will determine whether there are any limitations under Section 382. If such a limitation exists, it is possible that a portion of the NOLs may not be available for use before expiration.</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Uncertain tax positions are recognized if it is more likely than not that the Company will be able to sustain the tax position taken, and the measurement of the benefit is calculated as the largest amount that is more than 50% likely to be realized upon resolution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benefit. The Company has analyzed filing positions in all of the federal and state jurisdictions where it is required to file income tax returns, as well as all open tax years in these jurisdictions.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uncertain tax positions for the years ended December 30, 2025 or December 31, 2024. For federal and state income tax purposes, the Company’s 2022 through 2024 tax years remain open for examination by the authorities under the normal three year statute of limitations. Should the Company utilize any of its U.S. or state NOLs, the tax year to which the original loss relates will remain open to examination.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United States Congress enacted H.R.1, commonly known as the One Big Beautiful Bill Act, which introduces a wide range of tax reform measures. These include extensions and modifications of key provisions from the Tax Cuts and Jobs Act, as well as changes to rules allowing accelerated tax deductions for qualified property and research expenditures. The legislation includes multiple effective dates, with certain provisions taking effect in 2025 and others phased in through 2027. The net effect of the legislation did not have a material impact on the Company’s effective tax rate for the year ended December 30, 2025. We will continue to monitor forthcoming administrative guidance and regulatory developments that may further clarify the implementation of the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181,000,000 shares of stock authorized, consisting of 150,000,000 shares of Class A common stock, par value $0.01 per share; 30,000,000 shares of Class B common stock, par value $0.01 and 1,000,000 shares of preferred stock, par value $0.01 per share. Preferred stock rights are determined by the Company’s Board of Directors when preferred shares are issued. The following summarizes the rights of common stock:</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—Shares of Class A common stock and Class B common stock are entitled to one vote per share in all voting matters, with the exception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common stock does not vote on the election or removal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—Each share of Class B common stock is convertible, at the option of the holder, into one share of Class A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—Class A common stock and Class B common stock share equally if a dividend is declared or paid to either class, but they do not have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special dividend.</w:t>
      </w:r>
    </w:p>
    <w:p>
      <w:pPr>
        <w:spacing w:after="0" w:line="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Liquidation, Dissolution or Winding Up</w:t>
      </w:r>
      <w:r>
        <w:rPr>
          <w:rFonts w:ascii="Times New Roman" w:cs="Times New Roman" w:eastAsia="Times New Roman" w:hAnsi="Times New Roman"/>
          <w:sz w:val="18"/>
          <w:szCs w:val="18"/>
          <w:color w:val="auto"/>
        </w:rPr>
        <w:t>—Class A common stock and Class B common stock share equally in distributions in liquidation, dissolution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winding up of the corporation.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26, 2023, the Company announced a share repurchase program (the “2023 Share Repurchase Program”) of up to $5.0 million of the Company’s Class A common stock. Under this program, the Company purchased shares of the Company's Class A common stock in the open market. The Company conducted any open market share repurchase activities in compliance with the safe harbor provisions of Rule 10b-18 of the Exchange Act. During 2023, the Company repurchased 216,494 (1,731,952 prior to the Reverse Stock Split) shares of its common stock for approximately $5.0 million in open market transactions at an average price of $22.88 ($2.86 prior to the Reverse Stock Split) per share. Share repurchases were accounted for under the retirement method and all repurchased shares were retired and cancelled. The excess of the purchase price over the par value of the shares was recorded as a reduction in additional paid-in capital. The 2023 Share Repurchase Program and the remaining de minimus balance was cancelled by the Company’s Board of Directors in the fourth quarter of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of 2023, the Company’s Board of Directors adopted the 2023 Stock Incentive Plan, which was approved at the annual meeting of stockholders on May 16, 2023 (the “2023 Plan”). The 2023 Plan authorizes the grant of non-qualified stock options, incentive stock options, stock appreciation rights (“SARs”), restricted stock, restricted stock units (“RSUs”), performance share units (“PSUs”) and incentive bonuses to employees, officers, non-employee directors and other service providers, as applicable. The Company’s 2013 Stock Incentive Plan, as amended and restated in May of 2013 was terminated. The 2023 Plan is administered by the Compensation Committee of the Company’s Board of Directors (the “Board”) or another committee designated by the Board, or in the absence of any such committee, the Board itself (the “administrator”). Stock options are granted at a price determined by the administrator at an exercise price that is not less than the fair market value of the underlying stock on the date of grant. The administrator may also grant SARs, RSUs and PSUs with terms determined by the administrator in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accordance with the 2023 Plan. All share-based awards (except for RSUs and PSUs) granted under the 2023 Plan have a life of ten years. Most awards vest ratably over four years; however, some have been granted with different vesting schedules. Of the awards outstanding, none have been granted to non-employees (except those granted to non-employee members of the Board of Directors of the Company) under the 2023 Plan. In 2022, the Company launched the General Manager (“GM”) Equity program which granted RSUs to top performing general managers with a three year cliff vesting. The final grant under the GM Equity program was in the first quarter of 2024. At December 30, 2025, approximately 0.4 million (3.3 million prior to the Reverse Stock Split) share-based awards were available to be granted under the 2023 Plan. The number of shares have been restated to reflect the 1-for-8 Reverse Stock Split effectuated on February 18, 2026. All historical share and per share amounts reflected in this Report have been adjusted to reflect the Reverse Stock Split. Refer to Note 18: Subsequent Event for further discussion.</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of 2024, the Company’s Board of Directors adopted the 2024 Inducement Plan (the “Inducement Plan”). The Inducement Plan provides for the potential grant of options, SARs, restricted stock and RSUs, any of which may be performance-based, and for incentive bonuses, which may be paid in cash or stock or a combination thereof, for certain newly hired employees. As of December 30, 2025, approximately 37,982 (303,851 prior to the Reverse Stock Split) share-based awards were available to be granted under the Inducement Plan.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is generally recognized on a straight-line basis over the service period of the awards. In 2025, 2024 and 2023, non-cash stock-based compensation expense of $3.0 million, $3.7 million and $4.3 million, respectively, was included in general and administrative expense. As of December 30, 2025, there was $3.0 million of unrecognized compensation costs related to non-vested share-based compensation arrangements granted under the 2023 Plan, which is expected to be recognized over 2.1 years.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estimated forfeiture rates that average 32% based upon the class of employees receiving stock-based compensation in its calculation of stock-based compensation expense for the year ended December 30, 2025. These estimates are based on historical forfeiture behavior exhibited by employees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each option granted is calculated using the Black-Scholes option-pricing model. Expected volatilities are based on the Company’s historical data and implied volatility. The Company uses historical data to estimate expected employee forfeitures of stock options. The expected life of options granted is management’s best estimate using recent and expected transactions. The risk-free rate for periods within the expected life of the option is based on the U.S. Treasury yield curve in effect at the time of grant. In 2024, the Company granted 31,250 performance-based stock options to its chief executive officer, which were to vest and become exercisable on the third anniversary of the grant date subject to the achievement of stock price target conditions at the end of the three-year performance period; however these options expired upon the resignation of such chief executive officer in August 2025. The fair value of each option share was $8.40 at grant date and calculated using a Monte Carlo valuation model. The Company did not grant any options in 2025 or 2023.</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aggregate option award activity under the 2023 Plan as of December 30, 2025, and changes during the fiscal year then ended is presented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2"/>
                <w:szCs w:val="12"/>
                <w:color w:val="auto"/>
              </w:rPr>
            </w:pPr>
          </w:p>
        </w:tc>
        <w:tc>
          <w:tcPr>
            <w:tcW w:w="134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 (1)</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 or expired</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30, 2025</w:t>
            </w:r>
          </w:p>
        </w:tc>
        <w:tc>
          <w:tcPr>
            <w:tcW w:w="1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vMerge w:val="continue"/>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30, 2025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32"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intrinsic value represents the amount by which fair value of the Company’s stock exceeds the exercise price of the option as of December 30, 2025.</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option shares vested in 2025 or 2024. The Company had 4,365 options that vested in 2023. These awards had a total estimated fair value of $0.1 million at the date of vesting during the fiscal year ended January 2,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 and Performance Stock Units (PSUs)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grants RSUs and PSUs to its executive officers under the 2023 Plan, and such awards may be granted under the Inducement Plan. The RSU awards vest over a four-year period subject to continued employment as of the applicable vesting date. The PSU awards are earned over a three-year performance period subject to the achievement of certain target performance conditions. The number of shares eligible to vest ranges from 0% to 200%, however no share shall vest if the defined minimum targets are not met. During fiscal years 2021 and 2022, PSUs were granted based on target performance measures over the Company’s comparable sales growth and Adjusted EBITDA (“Financial PSU”). For fiscal year 2021 to 2023, the Company also awarded PSUs based on a total shareholder return based metric (“TSR”), which compares the stock price of the Company’s shares to a group of peer companies. In fiscal year 2024, the Company awarded PSUs based on a volume-weighted average stock price for the Company’s shares. In fiscal year 2025, the Company awarded PSUs based on an absolute stock price of the Company’s shares on the measurement date.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the Financial PSUs has a fair value equal to the Company’s stock price at the date of grant while the fair value of each share of TSRs and the 2024-2025 PSUs is determined using a Monte Carlo valuation model. The Financial PSU stock-based compensation expense is recognized during the three-year period and is adjusted for the number of shares that are expected to vest based on the probability of achieving the targeted performance measures. Stock-based compensation expense for TSR and PSU awards is recognized straight-line over the term of the award. PSUs remain unvested until the end of the performance period and through the post-performance holding period of three to six months (“vest date”) if applicable. For TSR awards, there is a mandatory post-vest holding period of one year. PSUs are forfeited in the event of termination prior to the vest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stock-based compensation expense recognized from the PSUs amounted to $(0.1) million, $0.2 million and $(0.6) million during 2025, 2024 and 2023, respectively. In 2025 the Company recorded a reversal of previously recognized compensation costs due to forfeitures of $0.4 million related to executive officer departures. In 2023, the Company recorded a reversal of previously recognized compensation costs due to forfeitures of $0.3 million related to executive officer departures and $0.5 million reversal due to target performance measures not being met.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aggregate non-vested RSUs and PSUs as of December 30, 2025 and changes during the year then ended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400" w:type="dxa"/>
            <w:vAlign w:val="bottom"/>
            <w:gridSpan w:val="2"/>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426,430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30"/>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9"/>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(232,811)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43"/>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30, 2025</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361,038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158,453, 95,718 and 90,624 award units that vested in 2025, 2024 and 2023, respectively. This included 2,919 and 20,953 PSUs that vested in 2024 and 2023, respectively. No PSUs vested in 2025. These units had a total estimated fair value of $1.0 million, $1.5 million and $3.4 million at the date of vesting during the fiscal years ended December 30, 2025, December 31, 2024 and January 2,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Loss Per Share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(loss) earnings per share (“EPS”) is calculated by dividing net (loss) income available to common shareholders by the weighted-average number of shares of common stock outstanding during each period. Diluted EPS is calculated using net (loss) income available to common stockholders divided by diluted weighted-average shares of common stock outstanding during each period. Potentially dilutive securities include shares of common stock underlying stock options and restricted common stock. Diluted EPS considers the impact of potentially dilutive securities except in periods in which there is a loss because the inclusion of the potential common shares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computations of basic and diluted EPS (in thousands, except share and per share data). The number of shares and per share have been restated to reflect the 1-for-8 Reverse Stock Split effectuated on February 18, 2026. Refer to Note 18: Subsequent Event for further discussion.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5,732,965</w:t>
            </w: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5,732,965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loss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Potential common shares are excluded from the computation of diluted earnings per share when the effect would be anti-dilutive. Shares issuable on the vesting or exercise of share-based awards were excluded from the calculation of diluted loss per share because the effect of their inclusion would have been anti-dilutive totaled 491,339 (3.9 million shares prior to the Reverse Stock Split), 470,816 (3.8 million shares prior to the Reverse Stock Split) and 430,280 (3.5 million shares prior to the Reverse Stock Split) for 2025, 2024 and 2023,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2003, the Company adopted a defined contribution plan, The Noodles &amp; Company 401(k) Plan (the “401(k) Plan”). Company employees aged 21 or older, are eligible to participate in the 401(k) Plan beginning on the first day of the calendar month following 30 days of employment. Under the provisions of the 401(k) Plan, the Company may, at its discretion, make contributions to the 401(k) Plan. Participants are 100% vested in their own contributions. In 2019, the board of directors authorized matching contributions equal to 25% of the first 4% of compensation that is deferred by the participant. The Company recognized matching contribution expense of $0.4 million in each of the fiscal years 2025, 2024 and 2023,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deferred compensation plan, under which compensation deferrals began in 2013, is a non-qualified deferred compensation plan which allows highly compensated employees to defer a portion of their base salary and variable compensation, including 401(k) refund, each plan year. To offset its obligation, the Company holds a portfolio of mutual funds in a Rabbi Trust. As of December 30, 2025 and December 31, 2024, $1.0 million and $1.2 million, respectively, were included in other assets, net, which represents the value of the mutual funds, and $1.0 million and $1.2 million, respectively, were included in accrued expenses and other current liabilities and other long-term liabilities, which represents the carrying value of the liability for deferred 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2013, the Company adopted an Employee Stock Purchase Plan (the “ESPP”) under which eligible team members may voluntarily contribute up to 15% of their salaries, subject to limitations, to purchase common stock at a price equal to 85% of the fair market value of a share of the Company’s common stock on the first day of each offering period or 85% of the fair market value of a share of the Company’s common stock on the last day of each offering period, whichever amount is less. In general, all non-highly compensated employees who have been employed by the Company for at least 30 days prior to the offering period and who are regularly scheduled to work more than 20 hours per week and for more than five months in any calendar year, are eligible to participate in the ESPP which operates in-line with the Company’s fiscal quarters. A total of 93,750 shares of common stock are available for issuance under the ESPP. The Company has issued a total of 81,189 shares under this plan, of which 19,940 shares were issued during 2025. A total of 12,561 shares remain available for future issuance. The number of shares reflect the 1-for-8 Reverse Stock Split effectuated on February 18, 2026. All historical share and per share amounts reflected in this Report have been adjusted to reflect the Reverse Stock Split. Refer to Note 18: Subsequent Event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in accordance with the guidance for accounting for stock compensation, the Company estimated the fair value of the stock purchase plan using the Black-Scholes multiple-option pricing model. The average assumptions used in the model included a 3.77% risk-free interest rate; 0.25 years expected life; expected volatility of 103.4%; and a zero percent dividend yield. The weighted average fair value per share at grant date was $0.24. In 2025, the Company recognized $36,000 of compensation expense related to the ESPP.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restaurant facilities, office space and certain equipment that expire on various dates through October 2039. Lease terms for restaurants in traditional shopping centers generally include a base term of 10 years, with options to extend these leases for additional periods of five to 15 years.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typically contain rent escalations over the lease term. The Company recognizes expense for these leases on a straight-line basis over the lease term. Additionally, tenant incentives used to fund leasehold improvements are recognized when earned and reduce the right-of-use asset related to the lease. These are amortized through the right-of-use asset as reductions of expense over the lease term. Total rent expense for operating leases for 2025, 2024 and 2023 was approximately $36.9 million, $39.4 million and $39.2 million, respectively.</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leases include rent escalations based on inflation indexes and fair market value adjustments. Certain leases contain contingent rental provisions that include a fixed base rent plus an additional percentage of the restaurant’s sales in excess of stipulated amounts. Lease expense associated with rent escalation and contingent rental provisions is not material and is included within operating lease cost. Operating lease liabilities are calculated using the prevailing index or rate at lease commencement. Subsequent escalations in the index or rate and contingent rental payments are recognized as variable lease expenses. Our lease agreements do not contain any material residual value guarantees or material restrictive covenants.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the practical expedient to account for lease and non-lease components as a single component for substantially all lease types.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used its incremental borrowing rate based on the information available at commencement date in determining the present value of lease payments.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trend of the trade area affected certain of our restaurant operating results and the underlying asset values of the restaurant lease. The Company recorded right-of-use asset impairment charges, which reduced the carrying value of operating lease assets to their respective estimated fair value by $5.0 million, $1.7 million, and $1.6 million in 2025, 2024 and 2023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4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480" w:type="dxa"/>
            <w:vAlign w:val="bottom"/>
          </w:tcPr>
          <w:p>
            <w:pPr>
              <w:spacing w:after="0"/>
              <w:rPr>
                <w:sz w:val="18"/>
                <w:szCs w:val="18"/>
                <w:color w:val="auto"/>
              </w:rPr>
            </w:pPr>
          </w:p>
        </w:tc>
        <w:tc>
          <w:tcPr>
            <w:tcW w:w="1520" w:type="dxa"/>
            <w:vAlign w:val="bottom"/>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6"/>
        </w:trPr>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46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157,821</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462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4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480" w:type="dxa"/>
            <w:vAlign w:val="bottom"/>
            <w:vMerge w:val="continue"/>
          </w:tcPr>
          <w:p>
            <w:pPr>
              <w:spacing w:after="0"/>
              <w:rPr>
                <w:sz w:val="15"/>
                <w:szCs w:val="15"/>
                <w:color w:val="auto"/>
              </w:rPr>
            </w:pPr>
          </w:p>
        </w:tc>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46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46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46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156,723</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462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are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60" w:type="dxa"/>
            <w:vAlign w:val="bottom"/>
          </w:tcPr>
          <w:p>
            <w:pPr>
              <w:spacing w:after="0"/>
              <w:rPr>
                <w:sz w:val="18"/>
                <w:szCs w:val="18"/>
                <w:color w:val="auto"/>
              </w:rPr>
            </w:pPr>
          </w:p>
        </w:tc>
        <w:tc>
          <w:tcPr>
            <w:tcW w:w="16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9"/>
        </w:trPr>
        <w:tc>
          <w:tcPr>
            <w:tcW w:w="212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00" w:type="dxa"/>
            <w:vAlign w:val="bottom"/>
          </w:tcPr>
          <w:p>
            <w:pPr>
              <w:spacing w:after="0"/>
              <w:rPr>
                <w:sz w:val="19"/>
                <w:szCs w:val="19"/>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30, 2025</w:t>
            </w:r>
          </w:p>
        </w:tc>
        <w:tc>
          <w:tcPr>
            <w:tcW w:w="200" w:type="dxa"/>
            <w:vAlign w:val="bottom"/>
          </w:tcPr>
          <w:p>
            <w:pPr>
              <w:spacing w:after="0"/>
              <w:rPr>
                <w:sz w:val="19"/>
                <w:szCs w:val="19"/>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Pr>
          <w:p>
            <w:pPr>
              <w:spacing w:after="0"/>
              <w:rPr>
                <w:sz w:val="19"/>
                <w:szCs w:val="19"/>
                <w:color w:val="auto"/>
              </w:rPr>
            </w:pP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January 2, 2024</w:t>
            </w:r>
          </w:p>
        </w:tc>
        <w:tc>
          <w:tcPr>
            <w:tcW w:w="0" w:type="dxa"/>
            <w:vAlign w:val="bottom"/>
          </w:tcPr>
          <w:p>
            <w:pPr>
              <w:spacing w:after="0"/>
              <w:rPr>
                <w:sz w:val="1"/>
                <w:szCs w:val="1"/>
                <w:color w:val="auto"/>
              </w:rPr>
            </w:pPr>
          </w:p>
        </w:tc>
      </w:tr>
      <w:tr>
        <w:trPr>
          <w:trHeight w:val="181"/>
        </w:trPr>
        <w:tc>
          <w:tcPr>
            <w:tcW w:w="2120" w:type="dxa"/>
            <w:vAlign w:val="bottom"/>
            <w:tcBorders>
              <w:top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Operating lease cost</w:t>
            </w:r>
          </w:p>
        </w:tc>
        <w:tc>
          <w:tcPr>
            <w:tcW w:w="3080" w:type="dxa"/>
            <w:vAlign w:val="bottom"/>
            <w:tcBorders>
              <w:top w:val="single" w:sz="8" w:color="auto"/>
            </w:tcBorders>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Occupancy, other restaurant operating</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costs, general and administrative</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36,934</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39,416</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39,192</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and pre-opening costs</w:t>
            </w:r>
          </w:p>
        </w:tc>
        <w:tc>
          <w:tcPr>
            <w:tcW w:w="200" w:type="dxa"/>
            <w:vAlign w:val="bottom"/>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3180" w:type="dxa"/>
            <w:vAlign w:val="bottom"/>
            <w:gridSpan w:val="2"/>
          </w:tcPr>
          <w:p>
            <w:pPr>
              <w:ind w:left="200"/>
              <w:spacing w:after="0" w:line="184" w:lineRule="exact"/>
              <w:rPr>
                <w:sz w:val="20"/>
                <w:szCs w:val="20"/>
                <w:color w:val="auto"/>
              </w:rPr>
            </w:pPr>
            <w:r>
              <w:rPr>
                <w:rFonts w:ascii="Times New Roman" w:cs="Times New Roman" w:eastAsia="Times New Roman" w:hAnsi="Times New Roman"/>
                <w:sz w:val="18"/>
                <w:szCs w:val="18"/>
                <w:color w:val="auto"/>
              </w:rPr>
              <w:t>Closure costs, loss on disposals and</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Amortization of lease assets Depreciation and amortization</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Interest on lease liabilities</w:t>
            </w:r>
          </w:p>
        </w:tc>
        <w:tc>
          <w:tcPr>
            <w:tcW w:w="3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44,688</w:t>
            </w: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Sublease income</w:t>
            </w:r>
          </w:p>
        </w:tc>
        <w:tc>
          <w:tcPr>
            <w:tcW w:w="3180" w:type="dxa"/>
            <w:vAlign w:val="bottom"/>
            <w:gridSpan w:val="2"/>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Franchising royalties and fees, and</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 net</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required under existing leases as of December 30, 2025 are as follows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60" w:type="dxa"/>
            <w:vAlign w:val="bottom"/>
          </w:tcPr>
          <w:p>
            <w:pPr>
              <w:spacing w:after="0"/>
              <w:rPr>
                <w:sz w:val="16"/>
                <w:szCs w:val="16"/>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38,447</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52,511</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208,222</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payments include $43.9 million related to options to extend lease terms that are reasonably certain of being exercised and exclude $0.5 million of legally binding minimum lease payments for lease renewals signed but not yet commenced.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and discount rate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30, 2025</w:t>
            </w:r>
          </w:p>
        </w:tc>
        <w:tc>
          <w:tcPr>
            <w:tcW w:w="19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56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r>
      <w:tr>
        <w:trPr>
          <w:trHeight w:val="230"/>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9"/>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905"/>
        </w:trPr>
        <w:tc>
          <w:tcPr>
            <w:tcW w:w="4500" w:type="dxa"/>
            <w:vAlign w:val="bottom"/>
          </w:tcPr>
          <w:p>
            <w:pPr>
              <w:spacing w:after="0"/>
              <w:rPr>
                <w:sz w:val="24"/>
                <w:szCs w:val="24"/>
                <w:color w:val="auto"/>
              </w:rPr>
            </w:pPr>
          </w:p>
        </w:tc>
        <w:tc>
          <w:tcPr>
            <w:tcW w:w="25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62</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8"/>
        </w:trPr>
        <w:tc>
          <w:tcPr>
            <w:tcW w:w="45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related to leases are as follows (in thousands):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for lease liabilities: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Supplemental Disclosures to Consolidated Statements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disclosures to the Consolidated Statements of Cash Flows for 2025, 2024 and 2023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8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accrued in accounts payable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other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December 30, 2025.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securities purchase agreement with Mill Road Capital II, L.P. (“Mill Road”), if at any time Mill Road owns 10.0% or more of our outstanding common stock, Mill Road has the right to designate one nominee for election to our Board of Directors. If Mill Road’s ownership level falls below 10.0% of our outstanding common stock, Mill Road will no longer have a right to designate a nominee. As of December 30, 2025, Mill Road continues to have holdings above the parameters in the agreement and Thomas Lynch of Mill Road is a member of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6, 2024, the Company entered into a Support Agreement (the “Support Agreement”) with Hoak &amp; Co, James M. Hoak, Jr., J. Hale Hoak, Hoak Public Equities, L.P., Zierk Family 2010 Irrevocable Trust and Hoak Fund Management, L.P. (collectively, “Hoak”) and Britain Peakes. Pursuant to the Support Agreement the Company agreed to appoint Britain Peakes (the “Appointee”) to the Company’s Board of Directors as a Class III director. The Support Agreement also includes, among other provisions, certain standstill and voting commitments by Hoak. The standstill period shall extend until the later of (x) 12:01 a.m. on the 30th day prior to the advance notice deadline for making director nominations at the 2026 annual meeting of shareholders and</w:t>
      </w:r>
    </w:p>
    <w:p>
      <w:pPr>
        <w:spacing w:after="0" w:line="3" w:lineRule="exact"/>
        <w:rPr>
          <w:sz w:val="20"/>
          <w:szCs w:val="20"/>
          <w:color w:val="auto"/>
        </w:rPr>
      </w:pPr>
    </w:p>
    <w:p>
      <w:pPr>
        <w:jc w:val="both"/>
        <w:ind w:firstLine="8"/>
        <w:spacing w:after="0" w:line="255"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days after the date that the Appointee ceases to serve as a director. The Appointee was elected to the Board by stockholders at the 2025 Annual Meeting of Stockholders as a Class III director, and will serve a three-year term expiring at the 2028 Annual Meeting of Stockholders, and until her successor is duly elected and qualified, or until her earlier death, resignation or removal.</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Revenue Recognition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30, 2025 and December 31, 2024, the current portion of the gift card liability, $2.2 million and $2.0 million, respectively, is included in accrued expenses and other current liabilities, and the long-term portion, $0.8 million and $1.0 million, respectively, is included in other long-term liabilities in the Consolidated Balance Sheets.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recognized in the Consolidated Statements of Operations for the redemption of gift cards was $2.3 million, $2.6 million and $2.8 million in 2025, 2024 and 2023, respectively. The Company recognized gift card breakage in restaurant revenue of approximately $0.3 million, $0.4 million and $0.3 million in 2025,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Fees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Initial fees received from franchisees are recognized as revenue over the term of each respective franchise agreement, which is typically 20 years. The Company recognized revenue of $0.3 million, $0.3 million and $0.2 million in 2025, 2024 and 2023, respectively related to initial fees from franchisees that were included in the contract liability balance at the beginning of the year. The Company expects to recognize approximately $0.1 million each fiscal year through fiscal 2030 and approximately $0.5 million thereafter related to performance obligations that are unsatisfied as of December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Loyalty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the Noodles Rewards program, which is primarily a spend-based loyalty program. With each purchase, Noodles Rewards members earn loyalty points that can be redeemed for rewards, including free products. Using an estimate of the value of reward redemptions, we defer revenue associated with points earned, net of estimated points that will not be redeemed. Points generally expire after six months. Revenue is recognized in a future period when the reward points are redeemed. Deferred revenue related to the rewards was $1.1 million and $1.0 million as of December 30, 2025 and December 31, 2024, respectively, and was included in accrued expenses and other current liabilities in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the senior executive team that includes the President and Chief Executive Officer and the Chief Financial Officer. The Company has one reportable operating segment. The reportable operating segment is comprised of one operating segment. The one reportable segment derives its revenue from company-owned restaurants and franchise owned restaurants. No guest accounts for 10% or more of the Company’s revenues. The Company’s CODM uses income (loss) from operations to evaluate performance and make key operating decisions, such as deciding the rate at which we invest resources into the segment.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our single reportable segment regularly reviewed by our CODM for 2025, 2024 and 2023 (in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Restaurant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485,103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492,648</w:t>
            </w:r>
          </w:p>
        </w:tc>
      </w:tr>
      <w:tr>
        <w:trPr>
          <w:trHeight w:val="22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Franchising royalties and fees,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10,757</w:t>
            </w:r>
          </w:p>
        </w:tc>
      </w:tr>
      <w:tr>
        <w:trPr>
          <w:trHeight w:val="223"/>
        </w:trPr>
        <w:tc>
          <w:tcPr>
            <w:tcW w:w="68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segment revenue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495,089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493,271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503,405</w:t>
            </w:r>
          </w:p>
        </w:tc>
      </w:tr>
      <w:tr>
        <w:trPr>
          <w:trHeight w:val="237"/>
        </w:trPr>
        <w:tc>
          <w:tcPr>
            <w:tcW w:w="6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6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124,102</w:t>
            </w:r>
          </w:p>
        </w:tc>
      </w:tr>
      <w:tr>
        <w:trPr>
          <w:trHeight w:val="229"/>
        </w:trPr>
        <w:tc>
          <w:tcPr>
            <w:tcW w:w="6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Labor</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154,258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157,608</w:t>
            </w:r>
          </w:p>
        </w:tc>
      </w:tr>
      <w:tr>
        <w:trPr>
          <w:trHeight w:val="230"/>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45,925</w:t>
            </w:r>
          </w:p>
        </w:tc>
      </w:tr>
      <w:tr>
        <w:trPr>
          <w:trHeight w:val="229"/>
        </w:trPr>
        <w:tc>
          <w:tcPr>
            <w:tcW w:w="6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restaurant operating costs</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91,559</w:t>
            </w:r>
          </w:p>
        </w:tc>
      </w:tr>
      <w:tr>
        <w:trPr>
          <w:trHeight w:val="230"/>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51,833</w:t>
            </w:r>
          </w:p>
        </w:tc>
      </w:tr>
      <w:tr>
        <w:trPr>
          <w:trHeight w:val="229"/>
        </w:trPr>
        <w:tc>
          <w:tcPr>
            <w:tcW w:w="6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29,066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26,792</w:t>
            </w:r>
          </w:p>
        </w:tc>
      </w:tr>
      <w:tr>
        <w:trPr>
          <w:trHeight w:val="229"/>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Pre-opening</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2,215</w:t>
            </w:r>
          </w:p>
        </w:tc>
      </w:tr>
      <w:tr>
        <w:trPr>
          <w:trHeight w:val="230"/>
        </w:trPr>
        <w:tc>
          <w:tcPr>
            <w:tcW w:w="68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Restaurant impairments, closure costs and asset disposals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20,268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8,400</w:t>
            </w:r>
          </w:p>
        </w:tc>
      </w:tr>
      <w:tr>
        <w:trPr>
          <w:trHeight w:val="223"/>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expenses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526,678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521,049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508,434</w:t>
            </w:r>
          </w:p>
        </w:tc>
      </w:tr>
      <w:tr>
        <w:trPr>
          <w:trHeight w:val="22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Segment loss from operations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(27,778)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(5,029)</w:t>
            </w:r>
          </w:p>
        </w:tc>
      </w:tr>
      <w:tr>
        <w:trPr>
          <w:trHeight w:val="209"/>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Reconciliation: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4,803</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loss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r>
      <w:tr>
        <w:trPr>
          <w:trHeight w:val="339"/>
        </w:trPr>
        <w:tc>
          <w:tcPr>
            <w:tcW w:w="6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8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r>
      <w:tr>
        <w:trPr>
          <w:trHeight w:val="21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disclosures (in thousands):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2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Total long-lived assets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295,058</w:t>
            </w:r>
          </w:p>
        </w:tc>
        <w:tc>
          <w:tcPr>
            <w:tcW w:w="80" w:type="dxa"/>
            <w:vAlign w:val="bottom"/>
          </w:tcPr>
          <w:p>
            <w:pPr>
              <w:spacing w:after="0"/>
              <w:rPr>
                <w:sz w:val="19"/>
                <w:szCs w:val="19"/>
                <w:color w:val="auto"/>
              </w:rPr>
            </w:pPr>
          </w:p>
        </w:tc>
      </w:tr>
      <w:tr>
        <w:trPr>
          <w:trHeight w:val="229"/>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324,648</w:t>
            </w:r>
          </w:p>
        </w:tc>
        <w:tc>
          <w:tcPr>
            <w:tcW w:w="80" w:type="dxa"/>
            <w:vAlign w:val="bottom"/>
          </w:tcPr>
          <w:p>
            <w:pPr>
              <w:spacing w:after="0"/>
              <w:rPr>
                <w:sz w:val="19"/>
                <w:szCs w:val="19"/>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55" w:lineRule="exact"/>
        <w:rPr>
          <w:sz w:val="20"/>
          <w:szCs w:val="20"/>
          <w:color w:val="auto"/>
        </w:rPr>
      </w:pPr>
    </w:p>
    <w:p>
      <w:pPr>
        <w:ind w:left="640" w:hanging="470"/>
        <w:spacing w:after="0"/>
        <w:tabs>
          <w:tab w:leader="none" w:pos="6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Long-lived assets include the Company’s property and equipment and operating lease assets presented in the Consolidated Balance Sheets.</w:t>
      </w:r>
    </w:p>
    <w:p>
      <w:pPr>
        <w:spacing w:after="0" w:line="284"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4, 2026, the Company's Board of Directors approved a Reverse Stock Split of the Company's issued and outstanding Class A common stock. The Reverse Stock Split was effectuated through the filing of an amendment to the Company’s Amended and Restated Certificate of Incorporation on February 12, 2026 and became effective on February 18, 2026 at a 1-for-8 ratio. All issued and outstanding Class A common stock and per share amounts contained in this Report have been adjusted retroactively to reflect the change in capital structure for all periods presented.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Noodles &amp;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Noodles &amp; Company and subsidiaries (the “Company”) as of December 30, 2025, the related consolidated statements of operations, stockholders’ equity (deficit), and cash flows for the period ended December 30, 2025, and the related notes (collectively referred to as the “consolidated financial statements”). In our opinion, the consolidated financial statements present fairly, in all material respects, the financial position of the Company as of December 30, 2025, and the results of its operations and its cash flows for the period ended December 30, 2025, in conformity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0" w:name="page71"/>
    <w:bookmarkEnd w:id="70"/>
    <w:p>
      <w:pPr>
        <w:ind w:right="3360" w:firstLine="3364"/>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Noodles &amp; Company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Noodles &amp; Company (the Company) as of December 31, 2024, the related consolidated statements of operations, stockholders’ equity (deficit)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 in conformity with U.S. generally accepted accounting principles.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hanging="13"/>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ind w:hanging="13"/>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ind w:hanging="13"/>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2009 to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consolidated balance sheet, consolidated statements of operations, consolidated statements of stockholders’ equity (deficit), Note 8, Note 9 and Note 10 as to which the date 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the design and operation of our disclosure controls and procedures (as defined in Rule 13a-15(e) of the Exchange Act) as of the end of the period covered by this report. Based on this evaluation, our Chief Executive Officer and Chief Financial Officer concluded that our disclosure controls and procedures were effective as of the end of the period covered by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our most recent fiscal quarter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management of Noodles &amp; Company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accounting principles generally accepted in the United State of America, and that our receipts and expenditures are being made only in accordance with authorizations of our management and directors; and (iii) provide reasonable assurance regarding prevention or timely detection of unauthorized acquisition, use, or disposition of assets that could have a material effect on our financial statements.</w:t>
      </w:r>
    </w:p>
    <w:p>
      <w:pPr>
        <w:spacing w:after="0" w:line="1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of December 30, 2025 based on the criteria in “Internal Control - Integrated Framework (the 2013 framework)” issued by the Committee of Sponsoring Organizations of the Treadway Commission (“COSO”). Based on this evaluation, our management concluded that our internal control over financial reporting was effective as of December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is not required to issue an attestation report on the effectiveness of our internal control over financial reporting as of December 30,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30, 2025, no director or officer adopted or terminated any Rule 10b5-1 or non-Rule 10b5-1 trading arrangements (as defined in Item 408 of Regulation S-K).</w:t>
      </w:r>
    </w:p>
    <w:p>
      <w:pPr>
        <w:spacing w:after="0" w:line="2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Disclosures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and a Code of Business Conduct and Ethics that applies to our officers and employees (collectively, the “Codes”), including our principal executive, financial and accounting officers, and persons performing similar functions. These Codes are published on our corporate governance website located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 We intend to disclose certain future amendments to provisions of our Codes, or waivers of provisions of the Codes granted to executive officers and directors, on the website within four business days following the date of such amendment or waiver.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herein by reference to the sections entitled “Proposal No. 1 - Election of Directors,” “Delinquent Section 16(a) Report,” “Executive Officers,” “Board Committees—Policy Regarding Stockholder Recommendations,” “Insider Trading Policy,” and “Board Committees—Audit Committee” in our definitive Proxy Statement for the Annual Meeting of Stockholders to be held on May 13, 2026 (the “Proxy Statement”).</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“Executive Compensation,” “Director Compensation” and “Board Committees—Compensation Committee Interlocks and Insider Participation” in the Proxy Statement.</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“Equity Compensation Plan Information” and “Security Ownership of Certain Beneficial Owners and Management” in the Proxy Statement.</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“Transactions with Related Persons” and “Directors and Corporate Governance—Board Independence” in the Proxy Statement.</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entitled “Proposal No. 3 - Ratification of Appointment of Independent Registered Public Accounting Firm for 2026” in the Proxy Statement.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6" w:lineRule="exact"/>
        <w:rPr>
          <w:sz w:val="20"/>
          <w:szCs w:val="20"/>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and Notes thereto are included in Item 8, “Financial Statements and Supplementary Data,” of this Annual Report on Form 10-K.</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schedules have been omitted either because they are not applicable or because the required information is provided in our Consolidated Financial Statements and Notes thereto, included in Item 8 of this Annual Report on Form 10-K.</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Index to Exhibits is incorporated herein by reference and is filed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Description of Exhibit Incorporated Herein by Reference</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460" w:type="dxa"/>
            <w:vAlign w:val="bottom"/>
            <w:gridSpan w:val="2"/>
          </w:tcPr>
          <w:p>
            <w:pPr>
              <w:ind w:left="320"/>
              <w:spacing w:after="0" w:line="163" w:lineRule="exact"/>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4"/>
                <w:szCs w:val="14"/>
                <w:color w:val="auto"/>
              </w:rPr>
            </w:pPr>
          </w:p>
        </w:tc>
        <w:tc>
          <w:tcPr>
            <w:tcW w:w="3060" w:type="dxa"/>
            <w:vAlign w:val="bottom"/>
            <w:gridSpan w:val="34"/>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480" w:type="dxa"/>
            <w:vAlign w:val="bottom"/>
            <w:vMerge w:val="restart"/>
          </w:tcPr>
          <w:p>
            <w:pPr>
              <w:ind w:left="58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5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1320" w:type="dxa"/>
            <w:vAlign w:val="bottom"/>
          </w:tcPr>
          <w:p>
            <w:pPr>
              <w:ind w:left="480"/>
              <w:spacing w:after="0" w:line="163" w:lineRule="exact"/>
              <w:rPr>
                <w:sz w:val="20"/>
                <w:szCs w:val="20"/>
                <w:color w:val="auto"/>
              </w:rPr>
            </w:pPr>
            <w:r>
              <w:rPr>
                <w:rFonts w:ascii="Times New Roman" w:cs="Times New Roman" w:eastAsia="Times New Roman" w:hAnsi="Times New Roman"/>
                <w:sz w:val="17"/>
                <w:szCs w:val="17"/>
                <w:b w:val="1"/>
                <w:bCs w:val="1"/>
                <w:color w:val="auto"/>
              </w:rPr>
              <w:t>Exhibit</w:t>
            </w:r>
          </w:p>
        </w:tc>
        <w:tc>
          <w:tcPr>
            <w:tcW w:w="15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Filed Herewith</w:t>
            </w:r>
          </w:p>
        </w:tc>
        <w:tc>
          <w:tcPr>
            <w:tcW w:w="0" w:type="dxa"/>
            <w:vAlign w:val="bottom"/>
          </w:tcPr>
          <w:p>
            <w:pPr>
              <w:spacing w:after="0"/>
              <w:rPr>
                <w:sz w:val="1"/>
                <w:szCs w:val="1"/>
                <w:color w:val="auto"/>
              </w:rPr>
            </w:pPr>
          </w:p>
        </w:tc>
      </w:tr>
      <w:tr>
        <w:trPr>
          <w:trHeight w:val="227"/>
        </w:trPr>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19"/>
                <w:szCs w:val="19"/>
                <w:color w:val="auto"/>
              </w:rPr>
            </w:pPr>
          </w:p>
        </w:tc>
        <w:tc>
          <w:tcPr>
            <w:tcW w:w="3060" w:type="dxa"/>
            <w:vAlign w:val="bottom"/>
            <w:gridSpan w:val="34"/>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3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1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auto"/>
              </w:rPr>
              <w:t>3.1</w:t>
            </w:r>
          </w:p>
        </w:tc>
        <w:tc>
          <w:tcPr>
            <w:tcW w:w="2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060" w:type="dxa"/>
            <w:vAlign w:val="bottom"/>
            <w:tcBorders>
              <w:top w:val="single" w:sz="8" w:color="auto"/>
            </w:tcBorders>
            <w:gridSpan w:val="34"/>
            <w:shd w:val="clear" w:color="auto" w:fill="CCEEFF"/>
          </w:tcPr>
          <w:p>
            <w:pPr>
              <w:spacing w:after="0" w:line="170"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Amended and Restated Certificate of</w:t>
              </w:r>
            </w:hyperlink>
          </w:p>
        </w:tc>
        <w:tc>
          <w:tcPr>
            <w:tcW w:w="86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auto"/>
              </w:rPr>
              <w:t>S-1</w:t>
            </w:r>
          </w:p>
        </w:tc>
        <w:tc>
          <w:tcPr>
            <w:tcW w:w="1480" w:type="dxa"/>
            <w:vAlign w:val="bottom"/>
            <w:tcBorders>
              <w:top w:val="single" w:sz="8" w:color="auto"/>
            </w:tcBorders>
            <w:shd w:val="clear" w:color="auto" w:fill="CCEEFF"/>
          </w:tcPr>
          <w:p>
            <w:pPr>
              <w:ind w:left="260"/>
              <w:spacing w:after="0" w:line="170" w:lineRule="exact"/>
              <w:rPr>
                <w:sz w:val="20"/>
                <w:szCs w:val="20"/>
                <w:color w:val="auto"/>
              </w:rPr>
            </w:pPr>
            <w:r>
              <w:rPr>
                <w:rFonts w:ascii="Times New Roman" w:cs="Times New Roman" w:eastAsia="Times New Roman" w:hAnsi="Times New Roman"/>
                <w:sz w:val="16"/>
                <w:szCs w:val="16"/>
                <w:color w:val="auto"/>
              </w:rPr>
              <w:t>333-192402</w:t>
            </w:r>
          </w:p>
        </w:tc>
        <w:tc>
          <w:tcPr>
            <w:tcW w:w="1540" w:type="dxa"/>
            <w:vAlign w:val="bottom"/>
            <w:tcBorders>
              <w:top w:val="single" w:sz="8" w:color="auto"/>
            </w:tcBorders>
            <w:shd w:val="clear" w:color="auto" w:fill="CCEEFF"/>
          </w:tcPr>
          <w:p>
            <w:pPr>
              <w:ind w:left="320"/>
              <w:spacing w:after="0" w:line="170" w:lineRule="exact"/>
              <w:rPr>
                <w:sz w:val="20"/>
                <w:szCs w:val="20"/>
                <w:color w:val="auto"/>
              </w:rPr>
            </w:pPr>
            <w:r>
              <w:rPr>
                <w:rFonts w:ascii="Times New Roman" w:cs="Times New Roman" w:eastAsia="Times New Roman" w:hAnsi="Times New Roman"/>
                <w:sz w:val="16"/>
                <w:szCs w:val="16"/>
                <w:color w:val="auto"/>
              </w:rPr>
              <w:t>November 19,</w:t>
            </w:r>
          </w:p>
        </w:tc>
        <w:tc>
          <w:tcPr>
            <w:tcW w:w="1320" w:type="dxa"/>
            <w:vAlign w:val="bottom"/>
            <w:tcBorders>
              <w:top w:val="single" w:sz="8" w:color="auto"/>
            </w:tcBorders>
            <w:shd w:val="clear" w:color="auto" w:fill="CCEEFF"/>
          </w:tcPr>
          <w:p>
            <w:pPr>
              <w:ind w:left="200"/>
              <w:spacing w:after="0" w:line="170" w:lineRule="exact"/>
              <w:rPr>
                <w:sz w:val="20"/>
                <w:szCs w:val="20"/>
                <w:color w:val="auto"/>
              </w:rPr>
            </w:pPr>
            <w:r>
              <w:rPr>
                <w:rFonts w:ascii="Times New Roman" w:cs="Times New Roman" w:eastAsia="Times New Roman" w:hAnsi="Times New Roman"/>
                <w:sz w:val="16"/>
                <w:szCs w:val="16"/>
                <w:color w:val="auto"/>
              </w:rPr>
              <w:t>3.1</w:t>
            </w:r>
          </w:p>
        </w:tc>
        <w:tc>
          <w:tcPr>
            <w:tcW w:w="1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8"/>
              </w:rPr>
            </w:pPr>
            <w:hyperlink r:id="rId84">
              <w:r>
                <w:rPr>
                  <w:rFonts w:ascii="Times New Roman" w:cs="Times New Roman" w:eastAsia="Times New Roman" w:hAnsi="Times New Roman"/>
                  <w:sz w:val="16"/>
                  <w:szCs w:val="16"/>
                  <w:color w:val="0000FF"/>
                  <w:w w:val="98"/>
                </w:rPr>
                <w:t>Incorporation</w:t>
              </w:r>
            </w:hyperlink>
          </w:p>
        </w:tc>
        <w:tc>
          <w:tcPr>
            <w:tcW w:w="1540" w:type="dxa"/>
            <w:vAlign w:val="bottom"/>
            <w:tcBorders>
              <w:top w:val="single" w:sz="8" w:color="0000FF"/>
              <w:bottom w:val="single" w:sz="8" w:color="CCEEFF"/>
            </w:tcBorders>
            <w:gridSpan w:val="1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CCEEFF"/>
              <w:bottom w:val="single" w:sz="8" w:color="CCEEFF"/>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6"/>
                <w:szCs w:val="16"/>
                <w:color w:val="auto"/>
              </w:rPr>
              <w:t>2013</w:t>
            </w:r>
          </w:p>
        </w:tc>
        <w:tc>
          <w:tcPr>
            <w:tcW w:w="1320" w:type="dxa"/>
            <w:vAlign w:val="bottom"/>
            <w:tcBorders>
              <w:top w:val="single" w:sz="8" w:color="CCEEFF"/>
              <w:bottom w:val="single" w:sz="8" w:color="CCEEFF"/>
            </w:tcBorders>
            <w:shd w:val="clear" w:color="auto" w:fill="CCEEFF"/>
          </w:tcPr>
          <w:p>
            <w:pPr>
              <w:spacing w:after="0"/>
              <w:rPr>
                <w:sz w:val="14"/>
                <w:szCs w:val="14"/>
                <w:color w:val="auto"/>
              </w:rPr>
            </w:pPr>
          </w:p>
        </w:tc>
        <w:tc>
          <w:tcPr>
            <w:tcW w:w="15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34"/>
          </w:tcPr>
          <w:p>
            <w:pPr>
              <w:spacing w:after="0" w:line="175"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Certificate of Amendment of Amended</w:t>
              </w:r>
            </w:hyperlink>
          </w:p>
        </w:tc>
        <w:tc>
          <w:tcPr>
            <w:tcW w:w="8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480" w:type="dxa"/>
            <w:vAlign w:val="bottom"/>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February 13,</w:t>
            </w:r>
          </w:p>
        </w:tc>
        <w:tc>
          <w:tcPr>
            <w:tcW w:w="132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w w:val="96"/>
              </w:rPr>
            </w:pPr>
            <w:hyperlink r:id="rId85">
              <w:r>
                <w:rPr>
                  <w:rFonts w:ascii="Times New Roman" w:cs="Times New Roman" w:eastAsia="Times New Roman" w:hAnsi="Times New Roman"/>
                  <w:sz w:val="16"/>
                  <w:szCs w:val="16"/>
                  <w:color w:val="0000FF"/>
                  <w:w w:val="96"/>
                </w:rPr>
                <w:t>and Restated Certificate of Incorporation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ind w:left="320"/>
              <w:spacing w:after="0" w:line="142" w:lineRule="exact"/>
              <w:rPr>
                <w:sz w:val="20"/>
                <w:szCs w:val="20"/>
                <w:color w:val="auto"/>
              </w:rPr>
            </w:pPr>
            <w:r>
              <w:rPr>
                <w:rFonts w:ascii="Times New Roman" w:cs="Times New Roman" w:eastAsia="Times New Roman" w:hAnsi="Times New Roman"/>
                <w:sz w:val="16"/>
                <w:szCs w:val="16"/>
                <w:color w:val="auto"/>
              </w:rPr>
              <w:t>2026</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60" w:type="dxa"/>
            <w:vAlign w:val="bottom"/>
            <w:gridSpan w:val="34"/>
            <w:shd w:val="clear" w:color="auto" w:fill="CCEEFF"/>
          </w:tcPr>
          <w:p>
            <w:pPr>
              <w:spacing w:after="0" w:line="175"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Second Amended and Restated Bylaws</w:t>
              </w:r>
            </w:hyperlink>
          </w:p>
        </w:tc>
        <w:tc>
          <w:tcPr>
            <w:tcW w:w="8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48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August 24,</w:t>
            </w:r>
          </w:p>
        </w:tc>
        <w:tc>
          <w:tcPr>
            <w:tcW w:w="13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ind w:left="320"/>
              <w:spacing w:after="0" w:line="183" w:lineRule="exact"/>
              <w:rPr>
                <w:sz w:val="20"/>
                <w:szCs w:val="20"/>
                <w:color w:val="auto"/>
              </w:rPr>
            </w:pPr>
            <w:r>
              <w:rPr>
                <w:rFonts w:ascii="Times New Roman" w:cs="Times New Roman" w:eastAsia="Times New Roman" w:hAnsi="Times New Roman"/>
                <w:sz w:val="16"/>
                <w:szCs w:val="16"/>
                <w:color w:val="auto"/>
              </w:rPr>
              <w:t>2015</w:t>
            </w:r>
          </w:p>
        </w:tc>
        <w:tc>
          <w:tcPr>
            <w:tcW w:w="13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34"/>
          </w:tcPr>
          <w:p>
            <w:pPr>
              <w:spacing w:after="0" w:line="175"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Specimen Stock Certificate</w:t>
              </w:r>
            </w:hyperlink>
          </w:p>
        </w:tc>
        <w:tc>
          <w:tcPr>
            <w:tcW w:w="8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480" w:type="dxa"/>
            <w:vAlign w:val="bottom"/>
          </w:tcPr>
          <w:p>
            <w:pPr>
              <w:ind w:left="260"/>
              <w:spacing w:after="0" w:line="175" w:lineRule="exact"/>
              <w:rPr>
                <w:sz w:val="20"/>
                <w:szCs w:val="20"/>
                <w:color w:val="auto"/>
              </w:rPr>
            </w:pPr>
            <w:r>
              <w:rPr>
                <w:rFonts w:ascii="Times New Roman" w:cs="Times New Roman" w:eastAsia="Times New Roman" w:hAnsi="Times New Roman"/>
                <w:sz w:val="16"/>
                <w:szCs w:val="16"/>
                <w:color w:val="auto"/>
              </w:rPr>
              <w:t>333-188783</w:t>
            </w:r>
          </w:p>
        </w:tc>
        <w:tc>
          <w:tcPr>
            <w:tcW w:w="1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June 17, 2013</w:t>
            </w:r>
          </w:p>
        </w:tc>
        <w:tc>
          <w:tcPr>
            <w:tcW w:w="132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60" w:type="dxa"/>
            <w:vAlign w:val="bottom"/>
            <w:gridSpan w:val="34"/>
            <w:shd w:val="clear" w:color="auto" w:fill="CCEEFF"/>
          </w:tcPr>
          <w:p>
            <w:pPr>
              <w:spacing w:after="0" w:line="175"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Description of Securities</w:t>
              </w:r>
            </w:hyperlink>
          </w:p>
        </w:tc>
        <w:tc>
          <w:tcPr>
            <w:tcW w:w="8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48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February 26,</w:t>
            </w:r>
          </w:p>
        </w:tc>
        <w:tc>
          <w:tcPr>
            <w:tcW w:w="13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ind w:left="320"/>
              <w:spacing w:after="0" w:line="183" w:lineRule="exact"/>
              <w:rPr>
                <w:sz w:val="20"/>
                <w:szCs w:val="20"/>
                <w:color w:val="auto"/>
              </w:rPr>
            </w:pPr>
            <w:r>
              <w:rPr>
                <w:rFonts w:ascii="Times New Roman" w:cs="Times New Roman" w:eastAsia="Times New Roman" w:hAnsi="Times New Roman"/>
                <w:sz w:val="16"/>
                <w:szCs w:val="16"/>
                <w:color w:val="auto"/>
              </w:rPr>
              <w:t>2021</w:t>
            </w:r>
          </w:p>
        </w:tc>
        <w:tc>
          <w:tcPr>
            <w:tcW w:w="13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34"/>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Amended and Restated Credit Agreement</w:t>
              </w:r>
            </w:hyperlink>
          </w:p>
        </w:tc>
        <w:tc>
          <w:tcPr>
            <w:tcW w:w="8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480" w:type="dxa"/>
            <w:vAlign w:val="bottom"/>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July 27, 2022</w:t>
            </w:r>
          </w:p>
        </w:tc>
        <w:tc>
          <w:tcPr>
            <w:tcW w:w="132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dated July 27, 2022, by and among</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Noodles &amp; Company, each of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w w:val="96"/>
              </w:rPr>
            </w:pPr>
            <w:hyperlink r:id="rId89">
              <w:r>
                <w:rPr>
                  <w:rFonts w:ascii="Times New Roman" w:cs="Times New Roman" w:eastAsia="Times New Roman" w:hAnsi="Times New Roman"/>
                  <w:sz w:val="16"/>
                  <w:szCs w:val="16"/>
                  <w:color w:val="0000FF"/>
                  <w:w w:val="96"/>
                </w:rPr>
                <w:t>Guarantors signatory thereto, U.S.</w:t>
              </w:r>
            </w:hyperlink>
          </w:p>
        </w:tc>
        <w:tc>
          <w:tcPr>
            <w:tcW w:w="100" w:type="dxa"/>
            <w:vAlign w:val="bottom"/>
          </w:tcPr>
          <w:p>
            <w:pPr>
              <w:spacing w:after="0"/>
              <w:rPr>
                <w:sz w:val="12"/>
                <w:szCs w:val="12"/>
                <w:color w:val="auto"/>
              </w:rPr>
            </w:pPr>
          </w:p>
        </w:tc>
        <w:tc>
          <w:tcPr>
            <w:tcW w:w="820" w:type="dxa"/>
            <w:vAlign w:val="bottom"/>
            <w:gridSpan w:val="25"/>
          </w:tcPr>
          <w:p>
            <w:pPr>
              <w:ind w:left="20"/>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Bank</w:t>
              </w:r>
            </w:hyperlink>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National Association, as Administrative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w w:val="98"/>
              </w:rPr>
            </w:pPr>
            <w:hyperlink r:id="rId89">
              <w:r>
                <w:rPr>
                  <w:rFonts w:ascii="Times New Roman" w:cs="Times New Roman" w:eastAsia="Times New Roman" w:hAnsi="Times New Roman"/>
                  <w:sz w:val="16"/>
                  <w:szCs w:val="16"/>
                  <w:color w:val="0000FF"/>
                  <w:w w:val="98"/>
                </w:rPr>
                <w:t>Agent, L/C Issuer and Swing Line Issuer</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29"/>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and the lenders signatory thereto</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60" w:type="dxa"/>
            <w:vAlign w:val="bottom"/>
            <w:gridSpan w:val="34"/>
            <w:shd w:val="clear" w:color="auto" w:fill="CCEEFF"/>
          </w:tcPr>
          <w:p>
            <w:pPr>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First Amendment to Amended and</w:t>
              </w:r>
            </w:hyperlink>
          </w:p>
        </w:tc>
        <w:tc>
          <w:tcPr>
            <w:tcW w:w="8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48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December 26,</w:t>
            </w:r>
          </w:p>
        </w:tc>
        <w:tc>
          <w:tcPr>
            <w:tcW w:w="13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Restated Credit Agreement, dated</w:t>
              </w:r>
            </w:hyperlink>
          </w:p>
        </w:tc>
        <w:tc>
          <w:tcPr>
            <w:tcW w:w="820" w:type="dxa"/>
            <w:vAlign w:val="bottom"/>
            <w:tcBorders>
              <w:top w:val="single" w:sz="8" w:color="CCEE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as of</w:t>
              </w:r>
            </w:hyperlink>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6"/>
                <w:szCs w:val="16"/>
                <w:color w:val="auto"/>
              </w:rPr>
              <w:t>2023</w:t>
            </w: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54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December 21, 2023, by and among</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Noodles &amp; Company, each of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w w:val="96"/>
              </w:rPr>
            </w:pPr>
            <w:hyperlink r:id="rId90">
              <w:r>
                <w:rPr>
                  <w:rFonts w:ascii="Times New Roman" w:cs="Times New Roman" w:eastAsia="Times New Roman" w:hAnsi="Times New Roman"/>
                  <w:sz w:val="16"/>
                  <w:szCs w:val="16"/>
                  <w:color w:val="0000FF"/>
                  <w:w w:val="96"/>
                </w:rPr>
                <w:t>Guarantors signatory thereto, U.S.</w:t>
              </w:r>
            </w:hyperlink>
          </w:p>
        </w:tc>
        <w:tc>
          <w:tcPr>
            <w:tcW w:w="920" w:type="dxa"/>
            <w:vAlign w:val="bottom"/>
            <w:tcBorders>
              <w:top w:val="single" w:sz="8" w:color="CCEEFF"/>
            </w:tcBorders>
            <w:gridSpan w:val="26"/>
            <w:shd w:val="clear" w:color="auto" w:fill="CCEEFF"/>
          </w:tcPr>
          <w:p>
            <w:pPr>
              <w:ind w:left="120"/>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Bank</w:t>
              </w:r>
            </w:hyperlink>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National Association, as Administrative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w w:val="98"/>
              </w:rPr>
            </w:pPr>
            <w:hyperlink r:id="rId90">
              <w:r>
                <w:rPr>
                  <w:rFonts w:ascii="Times New Roman" w:cs="Times New Roman" w:eastAsia="Times New Roman" w:hAnsi="Times New Roman"/>
                  <w:sz w:val="16"/>
                  <w:szCs w:val="16"/>
                  <w:color w:val="0000FF"/>
                  <w:w w:val="98"/>
                </w:rPr>
                <w:t>Agent, L/C Issuer and Swing Line Issuer</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and the lenders signatory thereto</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34"/>
          </w:tcPr>
          <w:p>
            <w:pPr>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Second Amendment to Amended and</w:t>
              </w:r>
            </w:hyperlink>
          </w:p>
        </w:tc>
        <w:tc>
          <w:tcPr>
            <w:tcW w:w="8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480" w:type="dxa"/>
            <w:vAlign w:val="bottom"/>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October 30,</w:t>
            </w:r>
          </w:p>
        </w:tc>
        <w:tc>
          <w:tcPr>
            <w:tcW w:w="132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Restated Credit Agreement, dated as</w:t>
              </w:r>
            </w:hyperlink>
          </w:p>
        </w:tc>
        <w:tc>
          <w:tcPr>
            <w:tcW w:w="100" w:type="dxa"/>
            <w:vAlign w:val="bottom"/>
            <w:tcBorders>
              <w:bottom w:val="single" w:sz="8" w:color="0000FF"/>
            </w:tcBorders>
            <w:gridSpan w:val="5"/>
          </w:tcPr>
          <w:p>
            <w:pPr>
              <w:spacing w:after="0" w:line="142" w:lineRule="exact"/>
              <w:rPr>
                <w:rFonts w:ascii="Times New Roman" w:cs="Times New Roman" w:eastAsia="Times New Roman" w:hAnsi="Times New Roman"/>
                <w:sz w:val="13"/>
                <w:szCs w:val="13"/>
                <w:color w:val="0000FF"/>
                <w:w w:val="73"/>
              </w:rPr>
            </w:pPr>
            <w:hyperlink r:id="rId91">
              <w:r>
                <w:rPr>
                  <w:rFonts w:ascii="Times New Roman" w:cs="Times New Roman" w:eastAsia="Times New Roman" w:hAnsi="Times New Roman"/>
                  <w:sz w:val="13"/>
                  <w:szCs w:val="13"/>
                  <w:color w:val="0000FF"/>
                  <w:w w:val="73"/>
                </w:rPr>
                <w:t>of</w:t>
              </w:r>
            </w:hyperlink>
          </w:p>
        </w:tc>
        <w:tc>
          <w:tcPr>
            <w:tcW w:w="520" w:type="dxa"/>
            <w:vAlign w:val="bottom"/>
            <w:gridSpan w:val="12"/>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ind w:left="320"/>
              <w:spacing w:after="0" w:line="142" w:lineRule="exact"/>
              <w:rPr>
                <w:sz w:val="20"/>
                <w:szCs w:val="20"/>
                <w:color w:val="auto"/>
              </w:rPr>
            </w:pPr>
            <w:r>
              <w:rPr>
                <w:rFonts w:ascii="Times New Roman" w:cs="Times New Roman" w:eastAsia="Times New Roman" w:hAnsi="Times New Roman"/>
                <w:sz w:val="16"/>
                <w:szCs w:val="16"/>
                <w:color w:val="auto"/>
              </w:rPr>
              <w:t>2024</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4"/>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October 29, 2024, by and among Noodles</w:t>
              </w:r>
            </w:hyperlink>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&amp; Company, each of the Guarantors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w w:val="95"/>
              </w:rPr>
            </w:pPr>
            <w:hyperlink r:id="rId91">
              <w:r>
                <w:rPr>
                  <w:rFonts w:ascii="Times New Roman" w:cs="Times New Roman" w:eastAsia="Times New Roman" w:hAnsi="Times New Roman"/>
                  <w:sz w:val="16"/>
                  <w:szCs w:val="16"/>
                  <w:color w:val="0000FF"/>
                  <w:w w:val="95"/>
                </w:rPr>
                <w:t>signatory thereto, U.S. Bank National</w:t>
              </w:r>
            </w:hyperlink>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13"/>
            <w:vMerge w:val="restart"/>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L/C</w:t>
              </w:r>
            </w:hyperlink>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gridSpan w:val="18"/>
          </w:tcPr>
          <w:p>
            <w:pPr>
              <w:spacing w:after="0" w:line="142" w:lineRule="exact"/>
              <w:rPr>
                <w:rFonts w:ascii="Times New Roman" w:cs="Times New Roman" w:eastAsia="Times New Roman" w:hAnsi="Times New Roman"/>
                <w:sz w:val="16"/>
                <w:szCs w:val="16"/>
                <w:color w:val="0000FF"/>
                <w:w w:val="99"/>
              </w:rPr>
            </w:pPr>
            <w:hyperlink r:id="rId91">
              <w:r>
                <w:rPr>
                  <w:rFonts w:ascii="Times New Roman" w:cs="Times New Roman" w:eastAsia="Times New Roman" w:hAnsi="Times New Roman"/>
                  <w:sz w:val="16"/>
                  <w:szCs w:val="16"/>
                  <w:color w:val="0000FF"/>
                  <w:w w:val="99"/>
                </w:rPr>
                <w:t>Association, as Administrative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13"/>
            <w:vMerge w:val="continue"/>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Issuer and Swing Line Issuer and the</w:t>
              </w:r>
            </w:hyperlink>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lenders signatory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32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60" w:type="dxa"/>
            <w:vAlign w:val="bottom"/>
            <w:tcBorders>
              <w:bottom w:val="single" w:sz="8" w:color="0000FF"/>
            </w:tcBorders>
            <w:gridSpan w:val="28"/>
            <w:shd w:val="clear" w:color="auto" w:fill="CCEEFF"/>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Security Agreement, dated May 9, 2018,</w:t>
              </w:r>
            </w:hyperlink>
          </w:p>
        </w:tc>
        <w:tc>
          <w:tcPr>
            <w:tcW w:w="400" w:type="dxa"/>
            <w:vAlign w:val="bottom"/>
            <w:tcBorders>
              <w:bottom w:val="single" w:sz="8" w:color="CCEEFF"/>
            </w:tcBorders>
            <w:gridSpan w:val="6"/>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480" w:type="dxa"/>
            <w:vAlign w:val="bottom"/>
            <w:tcBorders>
              <w:bottom w:val="single" w:sz="8" w:color="CCEEFF"/>
            </w:tcBorders>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tcBorders>
              <w:bottom w:val="single" w:sz="8" w:color="CCEEFF"/>
            </w:tcBorders>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May 11, 2018</w:t>
            </w:r>
          </w:p>
        </w:tc>
        <w:tc>
          <w:tcPr>
            <w:tcW w:w="132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60" w:type="dxa"/>
            <w:vAlign w:val="bottom"/>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by and between Noodles &amp; Company and</w:t>
              </w:r>
            </w:hyperlink>
          </w:p>
        </w:tc>
        <w:tc>
          <w:tcPr>
            <w:tcW w:w="8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U.S. Bank National Association, as</w:t>
              </w:r>
            </w:hyperlink>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0000FF"/>
            </w:tcBorders>
            <w:gridSpan w:val="12"/>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administrative agent</w:t>
              </w:r>
            </w:hyperlink>
          </w:p>
        </w:tc>
        <w:tc>
          <w:tcPr>
            <w:tcW w:w="10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32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34"/>
          </w:tcPr>
          <w:p>
            <w:pPr>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Pledge Agreement, dated May 9, 2018, by</w:t>
              </w:r>
            </w:hyperlink>
          </w:p>
        </w:tc>
        <w:tc>
          <w:tcPr>
            <w:tcW w:w="8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480" w:type="dxa"/>
            <w:vAlign w:val="bottom"/>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May 11, 2018</w:t>
            </w:r>
          </w:p>
        </w:tc>
        <w:tc>
          <w:tcPr>
            <w:tcW w:w="132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and between Noodles &amp; Company and</w:t>
              </w:r>
            </w:hyperlink>
          </w:p>
        </w:tc>
        <w:tc>
          <w:tcPr>
            <w:tcW w:w="32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U.S. Bank National Association, as</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20" w:type="dxa"/>
            <w:vAlign w:val="bottom"/>
            <w:gridSpan w:val="7"/>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administrative agent</w:t>
              </w:r>
            </w:hyperlink>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20" w:type="dxa"/>
            <w:vAlign w:val="bottom"/>
            <w:gridSpan w:val="7"/>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60" w:type="dxa"/>
            <w:vAlign w:val="bottom"/>
            <w:gridSpan w:val="34"/>
            <w:shd w:val="clear" w:color="auto" w:fill="CCEEFF"/>
          </w:tcPr>
          <w:p>
            <w:pPr>
              <w:spacing w:after="0" w:line="17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Form of Indemnification Agreement by</w:t>
              </w:r>
            </w:hyperlink>
          </w:p>
        </w:tc>
        <w:tc>
          <w:tcPr>
            <w:tcW w:w="8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48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333-188783</w:t>
            </w:r>
          </w:p>
        </w:tc>
        <w:tc>
          <w:tcPr>
            <w:tcW w:w="154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June 17, 2013</w:t>
            </w:r>
          </w:p>
        </w:tc>
        <w:tc>
          <w:tcPr>
            <w:tcW w:w="13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58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and between Noodles &amp; Company and</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420" w:type="dxa"/>
            <w:vAlign w:val="bottom"/>
            <w:tcBorders>
              <w:top w:val="single" w:sz="8" w:color="CCEEFF"/>
            </w:tcBorders>
            <w:gridSpan w:val="7"/>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each of its directors</w:t>
              </w:r>
            </w:hyperlink>
          </w:p>
        </w:tc>
        <w:tc>
          <w:tcPr>
            <w:tcW w:w="120" w:type="dxa"/>
            <w:vAlign w:val="bottom"/>
            <w:tcBorders>
              <w:top w:val="single" w:sz="8" w:color="CCEEFF"/>
            </w:tcBorders>
            <w:gridSpan w:val="6"/>
            <w:shd w:val="clear" w:color="auto" w:fill="CCEEFF"/>
          </w:tcPr>
          <w:p>
            <w:pPr>
              <w:spacing w:after="0"/>
              <w:rPr>
                <w:sz w:val="12"/>
                <w:szCs w:val="12"/>
                <w:color w:val="auto"/>
              </w:rPr>
            </w:pPr>
          </w:p>
        </w:tc>
        <w:tc>
          <w:tcPr>
            <w:tcW w:w="420" w:type="dxa"/>
            <w:vAlign w:val="bottom"/>
            <w:tcBorders>
              <w:top w:val="single" w:sz="8" w:color="CCEEFF"/>
            </w:tcBorders>
            <w:gridSpan w:val="7"/>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34"/>
          </w:tcPr>
          <w:p>
            <w:pPr>
              <w:spacing w:after="0" w:line="17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Letter Agreement, dated February 15,</w:t>
              </w:r>
            </w:hyperlink>
          </w:p>
        </w:tc>
        <w:tc>
          <w:tcPr>
            <w:tcW w:w="8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480" w:type="dxa"/>
            <w:vAlign w:val="bottom"/>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March 14, 2017</w:t>
            </w:r>
          </w:p>
        </w:tc>
        <w:tc>
          <w:tcPr>
            <w:tcW w:w="132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2017, between Noodles &amp; Company</w:t>
              </w:r>
            </w:hyperlink>
          </w:p>
        </w:tc>
        <w:tc>
          <w:tcPr>
            <w:tcW w:w="580" w:type="dxa"/>
            <w:vAlign w:val="bottom"/>
            <w:gridSpan w:val="15"/>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and</w:t>
              </w:r>
            </w:hyperlink>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4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Mill Road Capital Management LLC</w:t>
              </w:r>
            </w:hyperlink>
          </w:p>
        </w:tc>
        <w:tc>
          <w:tcPr>
            <w:tcW w:w="420" w:type="dxa"/>
            <w:vAlign w:val="bottom"/>
            <w:gridSpan w:val="7"/>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60" w:type="dxa"/>
            <w:vAlign w:val="bottom"/>
            <w:gridSpan w:val="34"/>
            <w:shd w:val="clear" w:color="auto" w:fill="CCEEFF"/>
          </w:tcPr>
          <w:p>
            <w:pPr>
              <w:spacing w:after="0" w:line="17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Securities Purchase Agreement, dated</w:t>
              </w:r>
            </w:hyperlink>
          </w:p>
        </w:tc>
        <w:tc>
          <w:tcPr>
            <w:tcW w:w="8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48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54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March 14, 2017</w:t>
            </w:r>
          </w:p>
        </w:tc>
        <w:tc>
          <w:tcPr>
            <w:tcW w:w="13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March 13, 2017, between Noodles &amp;</w:t>
              </w:r>
            </w:hyperlink>
          </w:p>
        </w:tc>
        <w:tc>
          <w:tcPr>
            <w:tcW w:w="560" w:type="dxa"/>
            <w:vAlign w:val="bottom"/>
            <w:tcBorders>
              <w:top w:val="single" w:sz="8" w:color="CCEEFF"/>
            </w:tcBorders>
            <w:gridSpan w:val="14"/>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Company and Mill Road Capital</w:t>
              </w:r>
            </w:hyperlink>
          </w:p>
        </w:tc>
        <w:tc>
          <w:tcPr>
            <w:tcW w:w="660" w:type="dxa"/>
            <w:vAlign w:val="bottom"/>
            <w:tcBorders>
              <w:top w:val="single" w:sz="8" w:color="CCEEFF"/>
            </w:tcBorders>
            <w:gridSpan w:val="19"/>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Management LLC</w:t>
              </w:r>
            </w:hyperlink>
          </w:p>
        </w:tc>
        <w:tc>
          <w:tcPr>
            <w:tcW w:w="960" w:type="dxa"/>
            <w:vAlign w:val="bottom"/>
            <w:tcBorders>
              <w:top w:val="single" w:sz="8" w:color="CCEEFF"/>
            </w:tcBorders>
            <w:gridSpan w:val="27"/>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2940" w:type="dxa"/>
            <w:vAlign w:val="bottom"/>
            <w:gridSpan w:val="39"/>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Support Agreement dated June 6, 2024,</w:t>
              </w:r>
            </w:hyperlink>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001-35987</w:t>
            </w:r>
          </w:p>
        </w:tc>
        <w:tc>
          <w:tcPr>
            <w:tcW w:w="1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June 11, 2024</w:t>
            </w:r>
          </w:p>
        </w:tc>
        <w:tc>
          <w:tcPr>
            <w:tcW w:w="2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w:t>
            </w:r>
          </w:p>
        </w:tc>
      </w:tr>
      <w:tr>
        <w:trPr>
          <w:trHeight w:val="142"/>
        </w:trPr>
        <w:tc>
          <w:tcPr>
            <w:tcW w:w="148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w w:val="98"/>
              </w:rPr>
            </w:pPr>
            <w:hyperlink r:id="rId98">
              <w:r>
                <w:rPr>
                  <w:rFonts w:ascii="Times New Roman" w:cs="Times New Roman" w:eastAsia="Times New Roman" w:hAnsi="Times New Roman"/>
                  <w:sz w:val="16"/>
                  <w:szCs w:val="16"/>
                  <w:color w:val="0000FF"/>
                  <w:w w:val="98"/>
                </w:rPr>
                <w:t>between Noodles &amp; Company and Hoak</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680" w:type="dxa"/>
            <w:vAlign w:val="bottom"/>
            <w:tcBorders>
              <w:bottom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&amp; Co, James M. Hoak, Jr., J. Hale Hoak,</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780" w:type="dxa"/>
            <w:vAlign w:val="bottom"/>
            <w:gridSpan w:val="35"/>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Hoak Public Equities, L.P., Zierk Family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76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2010 Irrevocable Trust and Hoak Fund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5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Management, L.P. and Britain Peakes</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Form of Area Development Agreement</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February 24,</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10.9</w:t>
            </w:r>
          </w:p>
        </w:tc>
      </w:tr>
      <w:tr>
        <w:trPr>
          <w:trHeight w:val="183"/>
        </w:trPr>
        <w:tc>
          <w:tcPr>
            <w:tcW w:w="14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ind w:left="400"/>
              <w:spacing w:after="0" w:line="183" w:lineRule="exact"/>
              <w:rPr>
                <w:sz w:val="20"/>
                <w:szCs w:val="20"/>
                <w:color w:val="auto"/>
              </w:rPr>
            </w:pPr>
            <w:r>
              <w:rPr>
                <w:rFonts w:ascii="Times New Roman" w:cs="Times New Roman" w:eastAsia="Times New Roman" w:hAnsi="Times New Roman"/>
                <w:sz w:val="16"/>
                <w:szCs w:val="16"/>
                <w:color w:val="auto"/>
              </w:rPr>
              <w:t>2015</w:t>
            </w:r>
          </w:p>
        </w:tc>
        <w:tc>
          <w:tcPr>
            <w:tcW w:w="2800" w:type="dxa"/>
            <w:vAlign w:val="bottom"/>
            <w:tcBorders>
              <w:top w:val="single" w:sz="8" w:color="CCEEFF"/>
            </w:tcBorders>
            <w:shd w:val="clear" w:color="auto" w:fill="CCEEFF"/>
          </w:tcPr>
          <w:p>
            <w:pPr>
              <w:spacing w:after="0"/>
              <w:rPr>
                <w:sz w:val="15"/>
                <w:szCs w:val="15"/>
                <w:color w:val="auto"/>
              </w:rPr>
            </w:pPr>
          </w:p>
        </w:tc>
      </w:tr>
      <w:tr>
        <w:trPr>
          <w:trHeight w:val="176"/>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2940" w:type="dxa"/>
            <w:vAlign w:val="bottom"/>
            <w:gridSpan w:val="39"/>
          </w:tcPr>
          <w:p>
            <w:pPr>
              <w:spacing w:after="0" w:line="17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Form of Franchise Agreement</w:t>
              </w:r>
            </w:hyperlink>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52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color w:val="auto"/>
              </w:rPr>
              <w:t>February 24,</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10.10</w:t>
            </w:r>
          </w:p>
        </w:tc>
      </w:tr>
      <w:tr>
        <w:trPr>
          <w:trHeight w:val="183"/>
        </w:trPr>
        <w:tc>
          <w:tcPr>
            <w:tcW w:w="14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20" w:type="dxa"/>
            <w:vAlign w:val="bottom"/>
          </w:tcPr>
          <w:p>
            <w:pPr>
              <w:ind w:left="400"/>
              <w:spacing w:after="0" w:line="183" w:lineRule="exact"/>
              <w:rPr>
                <w:sz w:val="20"/>
                <w:szCs w:val="20"/>
                <w:color w:val="auto"/>
              </w:rPr>
            </w:pPr>
            <w:r>
              <w:rPr>
                <w:rFonts w:ascii="Times New Roman" w:cs="Times New Roman" w:eastAsia="Times New Roman" w:hAnsi="Times New Roman"/>
                <w:sz w:val="16"/>
                <w:szCs w:val="16"/>
                <w:color w:val="auto"/>
              </w:rPr>
              <w:t>2015</w:t>
            </w:r>
          </w:p>
        </w:tc>
        <w:tc>
          <w:tcPr>
            <w:tcW w:w="2800" w:type="dxa"/>
            <w:vAlign w:val="bottom"/>
          </w:tcPr>
          <w:p>
            <w:pPr>
              <w:spacing w:after="0"/>
              <w:rPr>
                <w:sz w:val="15"/>
                <w:szCs w:val="15"/>
                <w:color w:val="auto"/>
              </w:rPr>
            </w:pPr>
          </w:p>
        </w:tc>
      </w:tr>
      <w:tr>
        <w:trPr>
          <w:trHeight w:val="176"/>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Noodles &amp; Company Amended and</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333-188783</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June 17, 2013</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r>
      <w:tr>
        <w:trPr>
          <w:trHeight w:val="163"/>
        </w:trPr>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Restated 2010 Stock Incentive Plan</w:t>
              </w:r>
            </w:hyperlink>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2940" w:type="dxa"/>
            <w:vAlign w:val="bottom"/>
            <w:gridSpan w:val="39"/>
          </w:tcPr>
          <w:p>
            <w:pPr>
              <w:spacing w:after="0" w:line="17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Form of Stock Option Agreement under</w:t>
              </w:r>
            </w:hyperlink>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2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color w:val="auto"/>
              </w:rPr>
              <w:t>November 9,</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10.7</w:t>
            </w:r>
          </w:p>
        </w:tc>
      </w:tr>
      <w:tr>
        <w:trPr>
          <w:trHeight w:val="142"/>
        </w:trPr>
        <w:tc>
          <w:tcPr>
            <w:tcW w:w="1480" w:type="dxa"/>
            <w:vAlign w:val="bottom"/>
          </w:tcPr>
          <w:p>
            <w:pPr>
              <w:spacing w:after="0"/>
              <w:rPr>
                <w:sz w:val="12"/>
                <w:szCs w:val="12"/>
                <w:color w:val="auto"/>
              </w:rPr>
            </w:pPr>
          </w:p>
        </w:tc>
        <w:tc>
          <w:tcPr>
            <w:tcW w:w="216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w w:val="99"/>
              </w:rPr>
            </w:pPr>
            <w:hyperlink r:id="rId102">
              <w:r>
                <w:rPr>
                  <w:rFonts w:ascii="Times New Roman" w:cs="Times New Roman" w:eastAsia="Times New Roman" w:hAnsi="Times New Roman"/>
                  <w:sz w:val="16"/>
                  <w:szCs w:val="16"/>
                  <w:color w:val="0000FF"/>
                  <w:w w:val="99"/>
                </w:rPr>
                <w:t>Amended &amp; Restated 2010 Stock</w:t>
              </w:r>
            </w:hyperlink>
          </w:p>
        </w:tc>
        <w:tc>
          <w:tcPr>
            <w:tcW w:w="500" w:type="dxa"/>
            <w:vAlign w:val="bottom"/>
            <w:tcBorders>
              <w:top w:val="single" w:sz="8" w:color="0000FF"/>
            </w:tcBorders>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ind w:left="400"/>
              <w:spacing w:after="0" w:line="142" w:lineRule="exact"/>
              <w:rPr>
                <w:sz w:val="20"/>
                <w:szCs w:val="20"/>
                <w:color w:val="auto"/>
              </w:rPr>
            </w:pPr>
            <w:r>
              <w:rPr>
                <w:rFonts w:ascii="Times New Roman" w:cs="Times New Roman" w:eastAsia="Times New Roman" w:hAnsi="Times New Roman"/>
                <w:sz w:val="16"/>
                <w:szCs w:val="16"/>
                <w:color w:val="auto"/>
              </w:rPr>
              <w:t>2017</w:t>
            </w: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940" w:type="dxa"/>
            <w:vAlign w:val="bottom"/>
            <w:gridSpan w:val="39"/>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Incentive Plan (Nonqualified Stock</w:t>
              </w:r>
            </w:hyperlink>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28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Options)</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6"/>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Form of 2022 Performance Restricted</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April 28, 2022</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w w:val="97"/>
              </w:rPr>
            </w:pPr>
            <w:hyperlink r:id="rId103">
              <w:r>
                <w:rPr>
                  <w:rFonts w:ascii="Times New Roman" w:cs="Times New Roman" w:eastAsia="Times New Roman" w:hAnsi="Times New Roman"/>
                  <w:sz w:val="16"/>
                  <w:szCs w:val="16"/>
                  <w:color w:val="0000FF"/>
                  <w:w w:val="97"/>
                </w:rPr>
                <w:t>Stock Unit Agreement under Amended</w:t>
              </w:r>
            </w:hyperlink>
          </w:p>
        </w:tc>
        <w:tc>
          <w:tcPr>
            <w:tcW w:w="360" w:type="dxa"/>
            <w:vAlign w:val="bottom"/>
            <w:tcBorders>
              <w:top w:val="single" w:sz="8" w:color="CCEEFF"/>
            </w:tcBorders>
            <w:gridSpan w:val="18"/>
            <w:shd w:val="clear" w:color="auto" w:fill="CCEEFF"/>
          </w:tcPr>
          <w:p>
            <w:pPr>
              <w:jc w:val="right"/>
              <w:ind w:right="120"/>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&amp;</w:t>
              </w:r>
            </w:hyperlink>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r>
      <w:tr>
        <w:trPr>
          <w:trHeight w:val="163"/>
        </w:trPr>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Restated 2010 Stock Incentive Plan</w:t>
              </w:r>
            </w:hyperlink>
          </w:p>
        </w:tc>
        <w:tc>
          <w:tcPr>
            <w:tcW w:w="50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2340" w:type="dxa"/>
            <w:vAlign w:val="bottom"/>
            <w:tcBorders>
              <w:bottom w:val="single" w:sz="8" w:color="0000FF"/>
            </w:tcBorders>
            <w:gridSpan w:val="16"/>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Form of 2022 Restricted Stock Unit</w:t>
              </w:r>
            </w:hyperlink>
          </w:p>
        </w:tc>
        <w:tc>
          <w:tcPr>
            <w:tcW w:w="600" w:type="dxa"/>
            <w:vAlign w:val="bottom"/>
            <w:gridSpan w:val="23"/>
          </w:tcPr>
          <w:p>
            <w:pPr>
              <w:spacing w:after="0"/>
              <w:rPr>
                <w:sz w:val="15"/>
                <w:szCs w:val="15"/>
                <w:color w:val="auto"/>
              </w:rPr>
            </w:pPr>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2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color w:val="auto"/>
              </w:rPr>
              <w:t>November 4,</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r>
      <w:tr>
        <w:trPr>
          <w:trHeight w:val="142"/>
        </w:trPr>
        <w:tc>
          <w:tcPr>
            <w:tcW w:w="1480" w:type="dxa"/>
            <w:vAlign w:val="bottom"/>
          </w:tcPr>
          <w:p>
            <w:pPr>
              <w:spacing w:after="0"/>
              <w:rPr>
                <w:sz w:val="12"/>
                <w:szCs w:val="12"/>
                <w:color w:val="auto"/>
              </w:rPr>
            </w:pPr>
          </w:p>
        </w:tc>
        <w:tc>
          <w:tcPr>
            <w:tcW w:w="2940" w:type="dxa"/>
            <w:vAlign w:val="bottom"/>
            <w:gridSpan w:val="39"/>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Agreement for General Manager Equity</w:t>
              </w:r>
            </w:hyperlink>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ind w:left="400"/>
              <w:spacing w:after="0" w:line="142" w:lineRule="exact"/>
              <w:rPr>
                <w:sz w:val="20"/>
                <w:szCs w:val="20"/>
                <w:color w:val="auto"/>
              </w:rPr>
            </w:pPr>
            <w:r>
              <w:rPr>
                <w:rFonts w:ascii="Times New Roman" w:cs="Times New Roman" w:eastAsia="Times New Roman" w:hAnsi="Times New Roman"/>
                <w:sz w:val="16"/>
                <w:szCs w:val="16"/>
                <w:color w:val="auto"/>
              </w:rPr>
              <w:t>2022</w:t>
            </w: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Partner Plan under Amended &amp; Restated</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740" w:type="dxa"/>
            <w:vAlign w:val="bottom"/>
            <w:gridSpan w:val="33"/>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2010 Stock Incentive Plan</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6"/>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Noodles &amp; Company 2013 Employee</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333-188783</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June 17, 2013</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10.2</w:t>
            </w:r>
          </w:p>
        </w:tc>
      </w:tr>
      <w:tr>
        <w:trPr>
          <w:trHeight w:val="163"/>
        </w:trPr>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1320" w:type="dxa"/>
            <w:vAlign w:val="bottom"/>
            <w:tcBorders>
              <w:top w:val="single" w:sz="8" w:color="0000FF"/>
              <w:bottom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w w:val="99"/>
              </w:rPr>
            </w:pPr>
            <w:hyperlink r:id="rId105">
              <w:r>
                <w:rPr>
                  <w:rFonts w:ascii="Times New Roman" w:cs="Times New Roman" w:eastAsia="Times New Roman" w:hAnsi="Times New Roman"/>
                  <w:sz w:val="16"/>
                  <w:szCs w:val="16"/>
                  <w:color w:val="0000FF"/>
                  <w:w w:val="99"/>
                </w:rPr>
                <w:t>Stock Purchase Plan</w:t>
              </w:r>
            </w:hyperlink>
          </w:p>
        </w:tc>
        <w:tc>
          <w:tcPr>
            <w:tcW w:w="1100" w:type="dxa"/>
            <w:vAlign w:val="bottom"/>
            <w:tcBorders>
              <w:top w:val="single" w:sz="8" w:color="0000FF"/>
              <w:bottom w:val="single" w:sz="8" w:color="CCEEFF"/>
            </w:tcBorders>
            <w:gridSpan w:val="1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2940" w:type="dxa"/>
            <w:vAlign w:val="bottom"/>
            <w:gridSpan w:val="39"/>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The Executive Nonqualified “Excess”</w:t>
              </w:r>
            </w:hyperlink>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52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333-188783</w:t>
            </w:r>
          </w:p>
        </w:tc>
        <w:tc>
          <w:tcPr>
            <w:tcW w:w="162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color w:val="auto"/>
              </w:rPr>
              <w:t>June 17, 2013</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10.22</w:t>
            </w:r>
          </w:p>
        </w:tc>
      </w:tr>
      <w:tr>
        <w:trPr>
          <w:trHeight w:val="142"/>
        </w:trPr>
        <w:tc>
          <w:tcPr>
            <w:tcW w:w="148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Plan Adoption Agreement, adopted by</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520" w:type="dxa"/>
            <w:vAlign w:val="bottom"/>
            <w:tcBorders>
              <w:bottom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Noodles &amp; Company on May 16, 2013</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Noodles &amp; Company 2023 Stock</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S-8</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333-272120</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May 22, 2023</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99.1</w:t>
            </w: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Incentive Plan</w:t>
              </w:r>
            </w:hyperlink>
          </w:p>
        </w:tc>
        <w:tc>
          <w:tcPr>
            <w:tcW w:w="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r>
      <w:tr>
        <w:trPr>
          <w:trHeight w:val="21"/>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2940" w:type="dxa"/>
            <w:vAlign w:val="bottom"/>
            <w:gridSpan w:val="39"/>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Form of 2023 Restricted Stock Unit</w:t>
              </w:r>
            </w:hyperlink>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2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color w:val="auto"/>
              </w:rPr>
              <w:t>May 11, 2023</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r>
      <w:tr>
        <w:trPr>
          <w:trHeight w:val="142"/>
        </w:trPr>
        <w:tc>
          <w:tcPr>
            <w:tcW w:w="1480" w:type="dxa"/>
            <w:vAlign w:val="bottom"/>
          </w:tcPr>
          <w:p>
            <w:pPr>
              <w:spacing w:after="0"/>
              <w:rPr>
                <w:sz w:val="12"/>
                <w:szCs w:val="12"/>
                <w:color w:val="auto"/>
              </w:rPr>
            </w:pPr>
          </w:p>
        </w:tc>
        <w:tc>
          <w:tcPr>
            <w:tcW w:w="234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Agreement under the 2023 Stock</w:t>
              </w:r>
            </w:hyperlink>
          </w:p>
        </w:tc>
        <w:tc>
          <w:tcPr>
            <w:tcW w:w="600" w:type="dxa"/>
            <w:vAlign w:val="bottom"/>
            <w:gridSpan w:val="23"/>
          </w:tcPr>
          <w:p>
            <w:pPr>
              <w:spacing w:after="0" w:line="142" w:lineRule="exact"/>
              <w:rPr>
                <w:rFonts w:ascii="Times New Roman" w:cs="Times New Roman" w:eastAsia="Times New Roman" w:hAnsi="Times New Roman"/>
                <w:sz w:val="16"/>
                <w:szCs w:val="16"/>
                <w:color w:val="0000FF"/>
                <w:w w:val="97"/>
              </w:rPr>
            </w:pPr>
            <w:hyperlink r:id="rId108">
              <w:r>
                <w:rPr>
                  <w:rFonts w:ascii="Times New Roman" w:cs="Times New Roman" w:eastAsia="Times New Roman" w:hAnsi="Times New Roman"/>
                  <w:sz w:val="16"/>
                  <w:szCs w:val="16"/>
                  <w:color w:val="0000FF"/>
                  <w:w w:val="97"/>
                </w:rPr>
                <w:t>Incentive</w:t>
              </w:r>
            </w:hyperlink>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840" w:type="dxa"/>
            <w:vAlign w:val="bottom"/>
            <w:tcBorders>
              <w:top w:val="single" w:sz="8" w:color="0000FF"/>
            </w:tcBorders>
            <w:gridSpan w:val="38"/>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Plan</w:t>
              </w:r>
            </w:hyperlink>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Form of 2023 Performance Restricted</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May 11, 2023</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10.2</w:t>
            </w:r>
          </w:p>
        </w:tc>
      </w:tr>
      <w:tr>
        <w:trPr>
          <w:trHeight w:val="142"/>
        </w:trPr>
        <w:tc>
          <w:tcPr>
            <w:tcW w:w="1480" w:type="dxa"/>
            <w:vAlign w:val="bottom"/>
            <w:tcBorders>
              <w:top w:val="single" w:sz="8" w:color="CCEEFF"/>
              <w:bottom w:val="single" w:sz="8" w:color="CCEEFF"/>
            </w:tcBorders>
            <w:shd w:val="clear" w:color="auto" w:fill="CCEEFF"/>
          </w:tcPr>
          <w:p>
            <w:pPr>
              <w:spacing w:after="0"/>
              <w:rPr>
                <w:sz w:val="12"/>
                <w:szCs w:val="12"/>
                <w:color w:val="auto"/>
              </w:rPr>
            </w:pPr>
          </w:p>
        </w:tc>
        <w:tc>
          <w:tcPr>
            <w:tcW w:w="2460" w:type="dxa"/>
            <w:vAlign w:val="bottom"/>
            <w:tcBorders>
              <w:top w:val="single" w:sz="8" w:color="0000FF"/>
              <w:bottom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w w:val="99"/>
              </w:rPr>
            </w:pPr>
            <w:hyperlink r:id="rId109">
              <w:r>
                <w:rPr>
                  <w:rFonts w:ascii="Times New Roman" w:cs="Times New Roman" w:eastAsia="Times New Roman" w:hAnsi="Times New Roman"/>
                  <w:sz w:val="16"/>
                  <w:szCs w:val="16"/>
                  <w:color w:val="0000FF"/>
                  <w:w w:val="99"/>
                </w:rPr>
                <w:t>Stock Unit Agreement under the 2023</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520" w:type="dxa"/>
            <w:vAlign w:val="bottom"/>
            <w:tcBorders>
              <w:top w:val="single" w:sz="8" w:color="CCEEFF"/>
              <w:bottom w:val="single" w:sz="8" w:color="CCEEFF"/>
            </w:tcBorders>
            <w:shd w:val="clear" w:color="auto" w:fill="CCEEFF"/>
          </w:tcPr>
          <w:p>
            <w:pPr>
              <w:spacing w:after="0"/>
              <w:rPr>
                <w:sz w:val="12"/>
                <w:szCs w:val="12"/>
                <w:color w:val="auto"/>
              </w:rPr>
            </w:pPr>
          </w:p>
        </w:tc>
        <w:tc>
          <w:tcPr>
            <w:tcW w:w="1620" w:type="dxa"/>
            <w:vAlign w:val="bottom"/>
            <w:tcBorders>
              <w:top w:val="single" w:sz="8" w:color="CCEEFF"/>
              <w:bottom w:val="single" w:sz="8" w:color="CCEEFF"/>
            </w:tcBorders>
            <w:shd w:val="clear" w:color="auto" w:fill="CCEEFF"/>
          </w:tcPr>
          <w:p>
            <w:pPr>
              <w:spacing w:after="0"/>
              <w:rPr>
                <w:sz w:val="12"/>
                <w:szCs w:val="12"/>
                <w:color w:val="auto"/>
              </w:rPr>
            </w:pPr>
          </w:p>
        </w:tc>
        <w:tc>
          <w:tcPr>
            <w:tcW w:w="28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3"/>
        </w:trPr>
        <w:tc>
          <w:tcPr>
            <w:tcW w:w="14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w w:val="99"/>
              </w:rPr>
            </w:pPr>
            <w:hyperlink r:id="rId109">
              <w:r>
                <w:rPr>
                  <w:rFonts w:ascii="Times New Roman" w:cs="Times New Roman" w:eastAsia="Times New Roman" w:hAnsi="Times New Roman"/>
                  <w:sz w:val="16"/>
                  <w:szCs w:val="16"/>
                  <w:color w:val="0000FF"/>
                  <w:w w:val="99"/>
                </w:rPr>
                <w:t>Stock Incentive Plan</w:t>
              </w:r>
            </w:hyperlink>
          </w:p>
        </w:tc>
        <w:tc>
          <w:tcPr>
            <w:tcW w:w="1140" w:type="dxa"/>
            <w:vAlign w:val="bottom"/>
            <w:tcBorders>
              <w:bottom w:val="single" w:sz="8" w:color="CCEEFF"/>
            </w:tcBorders>
            <w:gridSpan w:val="14"/>
            <w:shd w:val="clear" w:color="auto" w:fill="CCEEFF"/>
          </w:tcPr>
          <w:p>
            <w:pPr>
              <w:spacing w:after="0"/>
              <w:rPr>
                <w:sz w:val="14"/>
                <w:szCs w:val="14"/>
                <w:color w:val="auto"/>
              </w:rPr>
            </w:pPr>
          </w:p>
        </w:tc>
        <w:tc>
          <w:tcPr>
            <w:tcW w:w="80" w:type="dxa"/>
            <w:vAlign w:val="bottom"/>
            <w:tcBorders>
              <w:bottom w:val="single" w:sz="8" w:color="CCEEFF"/>
            </w:tcBorders>
            <w:gridSpan w:val="4"/>
            <w:shd w:val="clear" w:color="auto" w:fill="CCEEFF"/>
          </w:tcPr>
          <w:p>
            <w:pPr>
              <w:spacing w:after="0"/>
              <w:rPr>
                <w:sz w:val="14"/>
                <w:szCs w:val="14"/>
                <w:color w:val="auto"/>
              </w:rPr>
            </w:pPr>
          </w:p>
        </w:tc>
        <w:tc>
          <w:tcPr>
            <w:tcW w:w="4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gridSpan w:val="4"/>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5"/>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2800" w:type="dxa"/>
            <w:vAlign w:val="bottom"/>
            <w:tcBorders>
              <w:bottom w:val="single" w:sz="8" w:color="CCEEFF"/>
            </w:tcBorders>
            <w:shd w:val="clear" w:color="auto" w:fill="CCEEFF"/>
          </w:tcPr>
          <w:p>
            <w:pPr>
              <w:spacing w:after="0"/>
              <w:rPr>
                <w:sz w:val="14"/>
                <w:szCs w:val="14"/>
                <w:color w:val="auto"/>
              </w:rPr>
            </w:pPr>
          </w:p>
        </w:tc>
      </w:tr>
      <w:tr>
        <w:trPr>
          <w:trHeight w:val="176"/>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10.21*</w:t>
            </w:r>
          </w:p>
        </w:tc>
        <w:tc>
          <w:tcPr>
            <w:tcW w:w="2340" w:type="dxa"/>
            <w:vAlign w:val="bottom"/>
            <w:tcBorders>
              <w:bottom w:val="single" w:sz="8" w:color="0000FF"/>
            </w:tcBorders>
            <w:gridSpan w:val="16"/>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Form of 2023 Restricted Stock Unit</w:t>
              </w:r>
            </w:hyperlink>
          </w:p>
        </w:tc>
        <w:tc>
          <w:tcPr>
            <w:tcW w:w="600" w:type="dxa"/>
            <w:vAlign w:val="bottom"/>
            <w:gridSpan w:val="23"/>
          </w:tcPr>
          <w:p>
            <w:pPr>
              <w:spacing w:after="0"/>
              <w:rPr>
                <w:sz w:val="15"/>
                <w:szCs w:val="15"/>
                <w:color w:val="auto"/>
              </w:rPr>
            </w:pPr>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2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color w:val="auto"/>
              </w:rPr>
              <w:t>May 11, 2023</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10.3</w:t>
            </w:r>
          </w:p>
        </w:tc>
      </w:tr>
      <w:tr>
        <w:trPr>
          <w:trHeight w:val="142"/>
        </w:trPr>
        <w:tc>
          <w:tcPr>
            <w:tcW w:w="1480" w:type="dxa"/>
            <w:vAlign w:val="bottom"/>
          </w:tcPr>
          <w:p>
            <w:pPr>
              <w:spacing w:after="0"/>
              <w:rPr>
                <w:sz w:val="12"/>
                <w:szCs w:val="12"/>
                <w:color w:val="auto"/>
              </w:rPr>
            </w:pPr>
          </w:p>
        </w:tc>
        <w:tc>
          <w:tcPr>
            <w:tcW w:w="2940" w:type="dxa"/>
            <w:vAlign w:val="bottom"/>
            <w:gridSpan w:val="39"/>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Agreement For General Manager Equity</w:t>
              </w:r>
            </w:hyperlink>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70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Partner Plan under the 2023 Stock</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20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Incentive Plan</w:t>
              </w:r>
            </w:hyperlink>
          </w:p>
        </w:tc>
        <w:tc>
          <w:tcPr>
            <w:tcW w:w="10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Restricted Stock Unit Agreement, dated</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November 13,</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10.2</w:t>
            </w: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November 9, 2023, between Noodles &amp;</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6"/>
                <w:szCs w:val="16"/>
                <w:color w:val="auto"/>
              </w:rPr>
              <w:t>2023</w:t>
            </w:r>
          </w:p>
        </w:tc>
        <w:tc>
          <w:tcPr>
            <w:tcW w:w="2800" w:type="dxa"/>
            <w:vAlign w:val="bottom"/>
            <w:tcBorders>
              <w:top w:val="single" w:sz="8" w:color="CCEEFF"/>
            </w:tcBorders>
            <w:shd w:val="clear" w:color="auto" w:fill="CCEEFF"/>
          </w:tcPr>
          <w:p>
            <w:pPr>
              <w:spacing w:after="0"/>
              <w:rPr>
                <w:sz w:val="12"/>
                <w:szCs w:val="12"/>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60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Company and Drew Madsen</w:t>
              </w:r>
            </w:hyperlink>
          </w:p>
        </w:tc>
        <w:tc>
          <w:tcPr>
            <w:tcW w:w="120" w:type="dxa"/>
            <w:vAlign w:val="bottom"/>
            <w:tcBorders>
              <w:top w:val="single" w:sz="8" w:color="CCEEFF"/>
            </w:tcBorders>
            <w:gridSpan w:val="6"/>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10.23*</w:t>
            </w:r>
          </w:p>
        </w:tc>
        <w:tc>
          <w:tcPr>
            <w:tcW w:w="2340" w:type="dxa"/>
            <w:vAlign w:val="bottom"/>
            <w:tcBorders>
              <w:bottom w:val="single" w:sz="8" w:color="0000FF"/>
            </w:tcBorders>
            <w:gridSpan w:val="16"/>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Form of 2024 Restricted Stock Unit</w:t>
              </w:r>
            </w:hyperlink>
          </w:p>
        </w:tc>
        <w:tc>
          <w:tcPr>
            <w:tcW w:w="600" w:type="dxa"/>
            <w:vAlign w:val="bottom"/>
            <w:gridSpan w:val="23"/>
          </w:tcPr>
          <w:p>
            <w:pPr>
              <w:spacing w:after="0"/>
              <w:rPr>
                <w:sz w:val="15"/>
                <w:szCs w:val="15"/>
                <w:color w:val="auto"/>
              </w:rPr>
            </w:pPr>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2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color w:val="auto"/>
              </w:rPr>
              <w:t>May 09, 2024</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r>
      <w:tr>
        <w:trPr>
          <w:trHeight w:val="142"/>
        </w:trPr>
        <w:tc>
          <w:tcPr>
            <w:tcW w:w="1480" w:type="dxa"/>
            <w:vAlign w:val="bottom"/>
          </w:tcPr>
          <w:p>
            <w:pPr>
              <w:spacing w:after="0"/>
              <w:rPr>
                <w:sz w:val="12"/>
                <w:szCs w:val="12"/>
                <w:color w:val="auto"/>
              </w:rPr>
            </w:pPr>
          </w:p>
        </w:tc>
        <w:tc>
          <w:tcPr>
            <w:tcW w:w="2940" w:type="dxa"/>
            <w:vAlign w:val="bottom"/>
            <w:gridSpan w:val="39"/>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Agreement For General Manager Equity</w:t>
              </w:r>
            </w:hyperlink>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70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Partner Plan under the 2023 Stock</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20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Incentive Plan</w:t>
              </w:r>
            </w:hyperlink>
          </w:p>
        </w:tc>
        <w:tc>
          <w:tcPr>
            <w:tcW w:w="10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10.24*</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Stock Option Agreement (Nonqualified</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March 07, 2024</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10.2</w:t>
            </w:r>
          </w:p>
        </w:tc>
      </w:tr>
      <w:tr>
        <w:trPr>
          <w:trHeight w:val="142"/>
        </w:trPr>
        <w:tc>
          <w:tcPr>
            <w:tcW w:w="1480" w:type="dxa"/>
            <w:vAlign w:val="bottom"/>
            <w:tcBorders>
              <w:top w:val="single" w:sz="8" w:color="CCEEFF"/>
              <w:bottom w:val="single" w:sz="8" w:color="CCEEFF"/>
            </w:tcBorders>
            <w:shd w:val="clear" w:color="auto" w:fill="CCEEFF"/>
          </w:tcPr>
          <w:p>
            <w:pPr>
              <w:spacing w:after="0"/>
              <w:rPr>
                <w:sz w:val="12"/>
                <w:szCs w:val="12"/>
                <w:color w:val="auto"/>
              </w:rPr>
            </w:pPr>
          </w:p>
        </w:tc>
        <w:tc>
          <w:tcPr>
            <w:tcW w:w="2440" w:type="dxa"/>
            <w:vAlign w:val="bottom"/>
            <w:tcBorders>
              <w:top w:val="single" w:sz="8" w:color="0000FF"/>
              <w:bottom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Stock Options), dated March 6, 2024,</w:t>
              </w:r>
            </w:hyperlink>
          </w:p>
        </w:tc>
        <w:tc>
          <w:tcPr>
            <w:tcW w:w="120" w:type="dxa"/>
            <w:vAlign w:val="bottom"/>
            <w:tcBorders>
              <w:top w:val="single" w:sz="8" w:color="0000FF"/>
              <w:bottom w:val="single" w:sz="8" w:color="CCEEFF"/>
            </w:tcBorders>
            <w:gridSpan w:val="6"/>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8"/>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520" w:type="dxa"/>
            <w:vAlign w:val="bottom"/>
            <w:tcBorders>
              <w:top w:val="single" w:sz="8" w:color="CCEEFF"/>
              <w:bottom w:val="single" w:sz="8" w:color="CCEEFF"/>
            </w:tcBorders>
            <w:shd w:val="clear" w:color="auto" w:fill="CCEEFF"/>
          </w:tcPr>
          <w:p>
            <w:pPr>
              <w:spacing w:after="0"/>
              <w:rPr>
                <w:sz w:val="12"/>
                <w:szCs w:val="12"/>
                <w:color w:val="auto"/>
              </w:rPr>
            </w:pPr>
          </w:p>
        </w:tc>
        <w:tc>
          <w:tcPr>
            <w:tcW w:w="1620" w:type="dxa"/>
            <w:vAlign w:val="bottom"/>
            <w:tcBorders>
              <w:top w:val="single" w:sz="8" w:color="CCEEFF"/>
              <w:bottom w:val="single" w:sz="8" w:color="CCEEFF"/>
            </w:tcBorders>
            <w:shd w:val="clear" w:color="auto" w:fill="CCEEFF"/>
          </w:tcPr>
          <w:p>
            <w:pPr>
              <w:spacing w:after="0"/>
              <w:rPr>
                <w:sz w:val="12"/>
                <w:szCs w:val="12"/>
                <w:color w:val="auto"/>
              </w:rPr>
            </w:pPr>
          </w:p>
        </w:tc>
        <w:tc>
          <w:tcPr>
            <w:tcW w:w="28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1480" w:type="dxa"/>
            <w:vAlign w:val="bottom"/>
            <w:shd w:val="clear" w:color="auto" w:fill="CCEEFF"/>
          </w:tcPr>
          <w:p>
            <w:pPr>
              <w:spacing w:after="0"/>
              <w:rPr>
                <w:sz w:val="12"/>
                <w:szCs w:val="12"/>
                <w:color w:val="auto"/>
              </w:rPr>
            </w:pPr>
          </w:p>
        </w:tc>
        <w:tc>
          <w:tcPr>
            <w:tcW w:w="2940" w:type="dxa"/>
            <w:vAlign w:val="bottom"/>
            <w:gridSpan w:val="39"/>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between Noodles &amp; Company and Drew</w:t>
              </w:r>
            </w:hyperlink>
          </w:p>
        </w:tc>
        <w:tc>
          <w:tcPr>
            <w:tcW w:w="8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Madsen</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10.25*</w:t>
            </w:r>
          </w:p>
        </w:tc>
        <w:tc>
          <w:tcPr>
            <w:tcW w:w="2940" w:type="dxa"/>
            <w:vAlign w:val="bottom"/>
            <w:gridSpan w:val="39"/>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Restricted Stock Unit Agreement, dated</w:t>
              </w:r>
            </w:hyperlink>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2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color w:val="auto"/>
              </w:rPr>
              <w:t>March 07, 2024</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10.3</w:t>
            </w:r>
          </w:p>
        </w:tc>
      </w:tr>
      <w:tr>
        <w:trPr>
          <w:trHeight w:val="142"/>
        </w:trPr>
        <w:tc>
          <w:tcPr>
            <w:tcW w:w="1480" w:type="dxa"/>
            <w:vAlign w:val="bottom"/>
          </w:tcPr>
          <w:p>
            <w:pPr>
              <w:spacing w:after="0"/>
              <w:rPr>
                <w:sz w:val="12"/>
                <w:szCs w:val="12"/>
                <w:color w:val="auto"/>
              </w:rPr>
            </w:pPr>
          </w:p>
        </w:tc>
        <w:tc>
          <w:tcPr>
            <w:tcW w:w="26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March 6, 2024, between Noodles &amp;</w:t>
              </w:r>
            </w:hyperlink>
          </w:p>
        </w:tc>
        <w:tc>
          <w:tcPr>
            <w:tcW w:w="200" w:type="dxa"/>
            <w:vAlign w:val="bottom"/>
            <w:gridSpan w:val="10"/>
          </w:tcPr>
          <w:p>
            <w:pPr>
              <w:spacing w:after="0"/>
              <w:rPr>
                <w:sz w:val="12"/>
                <w:szCs w:val="12"/>
                <w:color w:val="auto"/>
              </w:rPr>
            </w:pPr>
          </w:p>
        </w:tc>
        <w:tc>
          <w:tcPr>
            <w:tcW w:w="12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3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Company and Drew Madsen</w:t>
              </w:r>
            </w:hyperlink>
          </w:p>
        </w:tc>
        <w:tc>
          <w:tcPr>
            <w:tcW w:w="520" w:type="dxa"/>
            <w:vAlign w:val="bottom"/>
            <w:gridSpan w:val="23"/>
          </w:tcPr>
          <w:p>
            <w:pPr>
              <w:spacing w:after="0"/>
              <w:rPr>
                <w:sz w:val="12"/>
                <w:szCs w:val="12"/>
                <w:color w:val="auto"/>
              </w:rPr>
            </w:pPr>
          </w:p>
        </w:tc>
        <w:tc>
          <w:tcPr>
            <w:tcW w:w="12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10.26*</w:t>
            </w:r>
          </w:p>
        </w:tc>
        <w:tc>
          <w:tcPr>
            <w:tcW w:w="294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Performance Stock Unit Agreement, dated</w:t>
              </w:r>
            </w:hyperlink>
          </w:p>
        </w:tc>
        <w:tc>
          <w:tcPr>
            <w:tcW w:w="8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2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6"/>
                <w:szCs w:val="16"/>
                <w:color w:val="auto"/>
              </w:rPr>
              <w:t>March 07, 2024</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10.4</w:t>
            </w: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820" w:type="dxa"/>
            <w:vAlign w:val="bottom"/>
            <w:tcBorders>
              <w:top w:val="single" w:sz="8" w:color="0000FF"/>
            </w:tcBorders>
            <w:gridSpan w:val="37"/>
            <w:shd w:val="clear" w:color="auto" w:fill="CCEEFF"/>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March 6, 2024, between Noodles &amp;</w:t>
              </w:r>
            </w:hyperlink>
          </w:p>
        </w:tc>
        <w:tc>
          <w:tcPr>
            <w:tcW w:w="120" w:type="dxa"/>
            <w:vAlign w:val="bottom"/>
            <w:tcBorders>
              <w:top w:val="single" w:sz="8" w:color="CCEEFF"/>
            </w:tcBorders>
            <w:gridSpan w:val="2"/>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Company and Drew Madsen</w:t>
              </w:r>
            </w:hyperlink>
          </w:p>
        </w:tc>
        <w:tc>
          <w:tcPr>
            <w:tcW w:w="640" w:type="dxa"/>
            <w:vAlign w:val="bottom"/>
            <w:tcBorders>
              <w:top w:val="single" w:sz="8" w:color="CCEEFF"/>
            </w:tcBorders>
            <w:gridSpan w:val="25"/>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2940" w:type="dxa"/>
            <w:vAlign w:val="bottom"/>
            <w:gridSpan w:val="37"/>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Form of 2024 Restricted Stock Unit</w:t>
              </w:r>
            </w:hyperlink>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10-Q</w:t>
            </w:r>
          </w:p>
        </w:tc>
        <w:tc>
          <w:tcPr>
            <w:tcW w:w="1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August 08,</w:t>
            </w:r>
          </w:p>
        </w:tc>
        <w:tc>
          <w:tcPr>
            <w:tcW w:w="2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32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Agreement under the 2023 Stock</w:t>
              </w:r>
            </w:hyperlink>
          </w:p>
        </w:tc>
        <w:tc>
          <w:tcPr>
            <w:tcW w:w="620" w:type="dxa"/>
            <w:vAlign w:val="bottom"/>
            <w:gridSpan w:val="21"/>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Incentive</w:t>
              </w:r>
            </w:hyperlink>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ind w:left="440"/>
              <w:spacing w:after="0" w:line="142" w:lineRule="exact"/>
              <w:rPr>
                <w:sz w:val="20"/>
                <w:szCs w:val="20"/>
                <w:color w:val="auto"/>
              </w:rPr>
            </w:pPr>
            <w:r>
              <w:rPr>
                <w:rFonts w:ascii="Times New Roman" w:cs="Times New Roman" w:eastAsia="Times New Roman" w:hAnsi="Times New Roman"/>
                <w:sz w:val="16"/>
                <w:szCs w:val="16"/>
                <w:color w:val="auto"/>
              </w:rPr>
              <w:t>2024</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80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Plan</w:t>
              </w:r>
            </w:hyperlink>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10.28*</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Form of 2024 Performance Restricted</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08,</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bottom w:val="single" w:sz="8" w:color="CCEEFF"/>
            </w:tcBorders>
            <w:shd w:val="clear" w:color="auto" w:fill="CCEEFF"/>
          </w:tcPr>
          <w:p>
            <w:pPr>
              <w:spacing w:after="0"/>
              <w:rPr>
                <w:sz w:val="12"/>
                <w:szCs w:val="12"/>
                <w:color w:val="auto"/>
              </w:rPr>
            </w:pPr>
          </w:p>
        </w:tc>
        <w:tc>
          <w:tcPr>
            <w:tcW w:w="2440" w:type="dxa"/>
            <w:vAlign w:val="bottom"/>
            <w:tcBorders>
              <w:top w:val="single" w:sz="8" w:color="0000FF"/>
              <w:bottom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w w:val="99"/>
              </w:rPr>
            </w:pPr>
            <w:hyperlink r:id="rId118">
              <w:r>
                <w:rPr>
                  <w:rFonts w:ascii="Times New Roman" w:cs="Times New Roman" w:eastAsia="Times New Roman" w:hAnsi="Times New Roman"/>
                  <w:sz w:val="16"/>
                  <w:szCs w:val="16"/>
                  <w:color w:val="0000FF"/>
                  <w:w w:val="99"/>
                </w:rPr>
                <w:t>Stock Unit Agreement under the 2023</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1660" w:type="dxa"/>
            <w:vAlign w:val="bottom"/>
            <w:tcBorders>
              <w:top w:val="single" w:sz="8" w:color="CCEEFF"/>
              <w:bottom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6"/>
                <w:szCs w:val="16"/>
                <w:color w:val="auto"/>
              </w:rPr>
              <w:t>2024</w:t>
            </w:r>
          </w:p>
        </w:tc>
        <w:tc>
          <w:tcPr>
            <w:tcW w:w="28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4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w w:val="99"/>
              </w:rPr>
            </w:pPr>
            <w:hyperlink r:id="rId118">
              <w:r>
                <w:rPr>
                  <w:rFonts w:ascii="Times New Roman" w:cs="Times New Roman" w:eastAsia="Times New Roman" w:hAnsi="Times New Roman"/>
                  <w:sz w:val="16"/>
                  <w:szCs w:val="16"/>
                  <w:color w:val="0000FF"/>
                  <w:w w:val="99"/>
                </w:rPr>
                <w:t>Stock Incentive Plan</w:t>
              </w:r>
            </w:hyperlink>
          </w:p>
        </w:tc>
        <w:tc>
          <w:tcPr>
            <w:tcW w:w="1120" w:type="dxa"/>
            <w:vAlign w:val="bottom"/>
            <w:tcBorders>
              <w:bottom w:val="single" w:sz="8" w:color="CCEEFF"/>
            </w:tcBorders>
            <w:gridSpan w:val="1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2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10.29*</w:t>
            </w:r>
          </w:p>
        </w:tc>
        <w:tc>
          <w:tcPr>
            <w:tcW w:w="2940" w:type="dxa"/>
            <w:vAlign w:val="bottom"/>
            <w:gridSpan w:val="37"/>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Form of 2025 Restricted Stock Unit</w:t>
              </w:r>
            </w:hyperlink>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14,</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32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Agreement under the 2023 Stock</w:t>
              </w:r>
            </w:hyperlink>
          </w:p>
        </w:tc>
        <w:tc>
          <w:tcPr>
            <w:tcW w:w="620" w:type="dxa"/>
            <w:vAlign w:val="bottom"/>
            <w:gridSpan w:val="21"/>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Incentive</w:t>
              </w:r>
            </w:hyperlink>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ind w:left="440"/>
              <w:spacing w:after="0" w:line="142" w:lineRule="exact"/>
              <w:rPr>
                <w:sz w:val="20"/>
                <w:szCs w:val="20"/>
                <w:color w:val="auto"/>
              </w:rPr>
            </w:pPr>
            <w:r>
              <w:rPr>
                <w:rFonts w:ascii="Times New Roman" w:cs="Times New Roman" w:eastAsia="Times New Roman" w:hAnsi="Times New Roman"/>
                <w:sz w:val="16"/>
                <w:szCs w:val="16"/>
                <w:color w:val="auto"/>
              </w:rPr>
              <w:t>2025</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80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Plan</w:t>
              </w:r>
            </w:hyperlink>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10.30*</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Form of 2025 Performance Restricted</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14,</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Stock Unit Agreement under the 2023</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6"/>
                <w:szCs w:val="16"/>
                <w:color w:val="auto"/>
              </w:rPr>
              <w:t>2025</w:t>
            </w:r>
          </w:p>
        </w:tc>
        <w:tc>
          <w:tcPr>
            <w:tcW w:w="28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0000FF"/>
              <w:bottom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Stock Incentive Plan</w:t>
              </w:r>
            </w:hyperlink>
          </w:p>
        </w:tc>
        <w:tc>
          <w:tcPr>
            <w:tcW w:w="1120" w:type="dxa"/>
            <w:vAlign w:val="bottom"/>
            <w:tcBorders>
              <w:top w:val="single" w:sz="8" w:color="0000FF"/>
              <w:bottom w:val="single" w:sz="8" w:color="CCEEFF"/>
            </w:tcBorders>
            <w:gridSpan w:val="1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500" w:type="dxa"/>
            <w:vAlign w:val="bottom"/>
            <w:tcBorders>
              <w:top w:val="single" w:sz="8" w:color="CCEEFF"/>
              <w:bottom w:val="single" w:sz="8" w:color="CCEEFF"/>
            </w:tcBorders>
            <w:shd w:val="clear" w:color="auto" w:fill="CCEEFF"/>
          </w:tcPr>
          <w:p>
            <w:pPr>
              <w:spacing w:after="0"/>
              <w:rPr>
                <w:sz w:val="14"/>
                <w:szCs w:val="14"/>
                <w:color w:val="auto"/>
              </w:rPr>
            </w:pPr>
          </w:p>
        </w:tc>
        <w:tc>
          <w:tcPr>
            <w:tcW w:w="166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10.31*</w:t>
            </w:r>
          </w:p>
        </w:tc>
        <w:tc>
          <w:tcPr>
            <w:tcW w:w="2940" w:type="dxa"/>
            <w:vAlign w:val="bottom"/>
            <w:gridSpan w:val="37"/>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Compensation Plan for Non-employee</w:t>
              </w:r>
            </w:hyperlink>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10,</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w w:val="99"/>
              </w:rPr>
            </w:pPr>
            <w:hyperlink r:id="rId121">
              <w:r>
                <w:rPr>
                  <w:rFonts w:ascii="Times New Roman" w:cs="Times New Roman" w:eastAsia="Times New Roman" w:hAnsi="Times New Roman"/>
                  <w:sz w:val="16"/>
                  <w:szCs w:val="16"/>
                  <w:color w:val="0000FF"/>
                  <w:w w:val="99"/>
                </w:rPr>
                <w:t>Directors, Amended and Restated May</w:t>
              </w:r>
            </w:hyperlink>
          </w:p>
        </w:tc>
        <w:tc>
          <w:tcPr>
            <w:tcW w:w="260" w:type="dxa"/>
            <w:vAlign w:val="bottom"/>
            <w:tcBorders>
              <w:bottom w:val="single" w:sz="8" w:color="0000FF"/>
            </w:tcBorders>
            <w:gridSpan w:val="11"/>
          </w:tcPr>
          <w:p>
            <w:pPr>
              <w:jc w:val="right"/>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15,</w:t>
              </w:r>
            </w:hyperlink>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ind w:left="440"/>
              <w:spacing w:after="0" w:line="142" w:lineRule="exact"/>
              <w:rPr>
                <w:sz w:val="20"/>
                <w:szCs w:val="20"/>
                <w:color w:val="auto"/>
              </w:rPr>
            </w:pPr>
            <w:r>
              <w:rPr>
                <w:rFonts w:ascii="Times New Roman" w:cs="Times New Roman" w:eastAsia="Times New Roman" w:hAnsi="Times New Roman"/>
                <w:sz w:val="16"/>
                <w:szCs w:val="16"/>
                <w:color w:val="auto"/>
              </w:rPr>
              <w:t>2023</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32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w w:val="93"/>
              </w:rPr>
            </w:pPr>
            <w:hyperlink r:id="rId121">
              <w:r>
                <w:rPr>
                  <w:rFonts w:ascii="Times New Roman" w:cs="Times New Roman" w:eastAsia="Times New Roman" w:hAnsi="Times New Roman"/>
                  <w:sz w:val="16"/>
                  <w:szCs w:val="16"/>
                  <w:color w:val="0000FF"/>
                  <w:w w:val="93"/>
                </w:rPr>
                <w:t>2023</w:t>
              </w:r>
            </w:hyperlink>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10.32*</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Form of Restricted Stock Unit Agreement</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14,</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for Non-Employee Directors (beginning</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6"/>
                <w:szCs w:val="16"/>
                <w:color w:val="auto"/>
              </w:rPr>
              <w:t>2025</w:t>
            </w:r>
          </w:p>
        </w:tc>
        <w:tc>
          <w:tcPr>
            <w:tcW w:w="28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2025)</w:t>
              </w:r>
            </w:hyperlink>
          </w:p>
        </w:tc>
        <w:tc>
          <w:tcPr>
            <w:tcW w:w="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10.33*</w:t>
            </w:r>
          </w:p>
        </w:tc>
        <w:tc>
          <w:tcPr>
            <w:tcW w:w="2940" w:type="dxa"/>
            <w:vAlign w:val="bottom"/>
            <w:gridSpan w:val="37"/>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Employment Agreement, dated August 2,</w:t>
              </w:r>
            </w:hyperlink>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4, 2021</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68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2021, between Noodles &amp; Company and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66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Kathy Lockhart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10.34*</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Employment Agreement, dated July 30,</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4, 2021</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58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w w:val="98"/>
              </w:rPr>
            </w:pPr>
            <w:hyperlink r:id="rId124">
              <w:r>
                <w:rPr>
                  <w:rFonts w:ascii="Times New Roman" w:cs="Times New Roman" w:eastAsia="Times New Roman" w:hAnsi="Times New Roman"/>
                  <w:sz w:val="16"/>
                  <w:szCs w:val="16"/>
                  <w:color w:val="0000FF"/>
                  <w:w w:val="98"/>
                </w:rPr>
                <w:t>2021, between Noodles &amp; Company and</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66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Corey Kline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10.35*</w:t>
            </w:r>
          </w:p>
        </w:tc>
        <w:tc>
          <w:tcPr>
            <w:tcW w:w="2940" w:type="dxa"/>
            <w:vAlign w:val="bottom"/>
            <w:gridSpan w:val="37"/>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Mike Hynes Offer Letter</w:t>
              </w:r>
            </w:hyperlink>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June 26, 2023</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10.36*</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Mike Hynes Employment Agreement</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June 26, 2023</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75"/>
        </w:trPr>
        <w:tc>
          <w:tcPr>
            <w:tcW w:w="148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10.37*</w:t>
            </w:r>
          </w:p>
        </w:tc>
        <w:tc>
          <w:tcPr>
            <w:tcW w:w="2420" w:type="dxa"/>
            <w:vAlign w:val="bottom"/>
            <w:tcBorders>
              <w:top w:val="single" w:sz="8" w:color="0000FF"/>
            </w:tcBorders>
            <w:gridSpan w:val="19"/>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Drew Madsen Offer Letter</w:t>
              </w:r>
            </w:hyperlink>
          </w:p>
        </w:tc>
        <w:tc>
          <w:tcPr>
            <w:tcW w:w="520" w:type="dxa"/>
            <w:vAlign w:val="bottom"/>
            <w:tcBorders>
              <w:top w:val="single" w:sz="8" w:color="CCEEFF"/>
            </w:tcBorders>
            <w:gridSpan w:val="18"/>
          </w:tcPr>
          <w:p>
            <w:pPr>
              <w:spacing w:after="0"/>
              <w:rPr>
                <w:sz w:val="15"/>
                <w:szCs w:val="15"/>
                <w:color w:val="auto"/>
              </w:rPr>
            </w:pPr>
          </w:p>
        </w:tc>
        <w:tc>
          <w:tcPr>
            <w:tcW w:w="860" w:type="dxa"/>
            <w:vAlign w:val="bottom"/>
            <w:tcBorders>
              <w:top w:val="single" w:sz="8" w:color="CCEEFF"/>
            </w:tcBorders>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tcBorders>
              <w:top w:val="single" w:sz="8" w:color="CCEEFF"/>
            </w:tcBorders>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Borders>
              <w:top w:val="single" w:sz="8" w:color="CCEEFF"/>
            </w:tcBorders>
          </w:tcPr>
          <w:p>
            <w:pPr>
              <w:ind w:left="440"/>
              <w:spacing w:after="0" w:line="175" w:lineRule="exact"/>
              <w:rPr>
                <w:sz w:val="20"/>
                <w:szCs w:val="20"/>
                <w:color w:val="auto"/>
              </w:rPr>
            </w:pPr>
            <w:r>
              <w:rPr>
                <w:rFonts w:ascii="Times New Roman" w:cs="Times New Roman" w:eastAsia="Times New Roman" w:hAnsi="Times New Roman"/>
                <w:sz w:val="16"/>
                <w:szCs w:val="16"/>
                <w:color w:val="auto"/>
              </w:rPr>
              <w:t>November 13,</w:t>
            </w:r>
          </w:p>
        </w:tc>
        <w:tc>
          <w:tcPr>
            <w:tcW w:w="2800" w:type="dxa"/>
            <w:vAlign w:val="bottom"/>
            <w:tcBorders>
              <w:top w:val="single" w:sz="8" w:color="CCEEFF"/>
            </w:tcBorders>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ind w:left="440"/>
              <w:spacing w:after="0" w:line="183" w:lineRule="exact"/>
              <w:rPr>
                <w:sz w:val="20"/>
                <w:szCs w:val="20"/>
                <w:color w:val="auto"/>
              </w:rPr>
            </w:pPr>
            <w:r>
              <w:rPr>
                <w:rFonts w:ascii="Times New Roman" w:cs="Times New Roman" w:eastAsia="Times New Roman" w:hAnsi="Times New Roman"/>
                <w:sz w:val="16"/>
                <w:szCs w:val="16"/>
                <w:color w:val="auto"/>
              </w:rPr>
              <w:t>2023</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10.38*</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Madsen Employment Agreement</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March 07, 2024</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10.39*</w:t>
            </w:r>
          </w:p>
        </w:tc>
        <w:tc>
          <w:tcPr>
            <w:tcW w:w="2940" w:type="dxa"/>
            <w:vAlign w:val="bottom"/>
            <w:gridSpan w:val="37"/>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Transition Agreement, between Noodles</w:t>
              </w:r>
            </w:hyperlink>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14,</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64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&amp; Company and Drew Madsen dated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ind w:left="440"/>
              <w:spacing w:after="0" w:line="142" w:lineRule="exact"/>
              <w:rPr>
                <w:sz w:val="20"/>
                <w:szCs w:val="20"/>
                <w:color w:val="auto"/>
              </w:rPr>
            </w:pPr>
            <w:r>
              <w:rPr>
                <w:rFonts w:ascii="Times New Roman" w:cs="Times New Roman" w:eastAsia="Times New Roman" w:hAnsi="Times New Roman"/>
                <w:sz w:val="16"/>
                <w:szCs w:val="16"/>
                <w:color w:val="auto"/>
              </w:rPr>
              <w:t>2025</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40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August 5, 2025</w:t>
              </w:r>
            </w:hyperlink>
          </w:p>
        </w:tc>
        <w:tc>
          <w:tcPr>
            <w:tcW w:w="8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10.40*</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Employment Agreement, dated June 10,</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08,</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w w:val="99"/>
              </w:rPr>
            </w:pPr>
            <w:hyperlink r:id="rId130">
              <w:r>
                <w:rPr>
                  <w:rFonts w:ascii="Times New Roman" w:cs="Times New Roman" w:eastAsia="Times New Roman" w:hAnsi="Times New Roman"/>
                  <w:sz w:val="16"/>
                  <w:szCs w:val="16"/>
                  <w:color w:val="0000FF"/>
                  <w:w w:val="99"/>
                </w:rPr>
                <w:t>2024, between Noodles &amp; Company and</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6"/>
                <w:szCs w:val="16"/>
                <w:color w:val="auto"/>
              </w:rPr>
              <w:t>2024</w:t>
            </w:r>
          </w:p>
        </w:tc>
        <w:tc>
          <w:tcPr>
            <w:tcW w:w="28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66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Scott Davis</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10.41*</w:t>
            </w:r>
          </w:p>
        </w:tc>
        <w:tc>
          <w:tcPr>
            <w:tcW w:w="2940" w:type="dxa"/>
            <w:vAlign w:val="bottom"/>
            <w:gridSpan w:val="37"/>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Transition Services and Separation</w:t>
              </w:r>
            </w:hyperlink>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September 11,</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vMerge w:val="restart"/>
          </w:tcPr>
          <w:p>
            <w:pPr>
              <w:ind w:left="440"/>
              <w:spacing w:after="0" w:line="162" w:lineRule="exact"/>
              <w:rPr>
                <w:sz w:val="20"/>
                <w:szCs w:val="20"/>
                <w:color w:val="auto"/>
              </w:rPr>
            </w:pPr>
            <w:r>
              <w:rPr>
                <w:rFonts w:ascii="Times New Roman" w:cs="Times New Roman" w:eastAsia="Times New Roman" w:hAnsi="Times New Roman"/>
                <w:sz w:val="16"/>
                <w:szCs w:val="16"/>
                <w:color w:val="auto"/>
              </w:rPr>
              <w:t>2024</w:t>
            </w: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80" w:type="dxa"/>
            <w:vAlign w:val="bottom"/>
          </w:tcPr>
          <w:p>
            <w:pPr>
              <w:spacing w:after="0"/>
              <w:rPr>
                <w:sz w:val="12"/>
                <w:szCs w:val="12"/>
                <w:color w:val="auto"/>
              </w:rPr>
            </w:pPr>
          </w:p>
        </w:tc>
        <w:tc>
          <w:tcPr>
            <w:tcW w:w="2940" w:type="dxa"/>
            <w:vAlign w:val="bottom"/>
            <w:gridSpan w:val="37"/>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Agreement between Noodles &amp; Company</w:t>
              </w:r>
            </w:hyperlink>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70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and Brad West dated September 10, 2024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10.42*</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Separation Agreement between Noodles &amp;</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June 25, 2024</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0000FF"/>
            </w:tcBorders>
            <w:gridSpan w:val="35"/>
            <w:shd w:val="clear" w:color="auto" w:fill="CCEEFF"/>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Company and Melissa Heidman dated</w:t>
              </w:r>
            </w:hyperlink>
          </w:p>
        </w:tc>
        <w:tc>
          <w:tcPr>
            <w:tcW w:w="16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w w:val="98"/>
              </w:rPr>
            </w:pPr>
            <w:hyperlink r:id="rId132">
              <w:r>
                <w:rPr>
                  <w:rFonts w:ascii="Times New Roman" w:cs="Times New Roman" w:eastAsia="Times New Roman" w:hAnsi="Times New Roman"/>
                  <w:sz w:val="16"/>
                  <w:szCs w:val="16"/>
                  <w:color w:val="0000FF"/>
                  <w:w w:val="98"/>
                </w:rPr>
                <w:t>June 18, 2024</w:t>
              </w:r>
            </w:hyperlink>
          </w:p>
        </w:tc>
        <w:tc>
          <w:tcPr>
            <w:tcW w:w="158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500" w:type="dxa"/>
            <w:vAlign w:val="bottom"/>
            <w:tcBorders>
              <w:top w:val="single" w:sz="8" w:color="CCEEFF"/>
              <w:bottom w:val="single" w:sz="8" w:color="CCEEFF"/>
            </w:tcBorders>
            <w:shd w:val="clear" w:color="auto" w:fill="CCEEFF"/>
          </w:tcPr>
          <w:p>
            <w:pPr>
              <w:spacing w:after="0"/>
              <w:rPr>
                <w:sz w:val="14"/>
                <w:szCs w:val="14"/>
                <w:color w:val="auto"/>
              </w:rPr>
            </w:pPr>
          </w:p>
        </w:tc>
        <w:tc>
          <w:tcPr>
            <w:tcW w:w="166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10.43*</w:t>
            </w:r>
          </w:p>
        </w:tc>
        <w:tc>
          <w:tcPr>
            <w:tcW w:w="2940" w:type="dxa"/>
            <w:vAlign w:val="bottom"/>
            <w:gridSpan w:val="37"/>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Joseph Christina Offer Letter</w:t>
              </w:r>
            </w:hyperlink>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March 07, 2025</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10.44*</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Employment agreement dated February</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February 19,</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bottom w:val="single" w:sz="8" w:color="CCEEFF"/>
            </w:tcBorders>
            <w:shd w:val="clear" w:color="auto" w:fill="CCEEFF"/>
          </w:tcPr>
          <w:p>
            <w:pPr>
              <w:spacing w:after="0"/>
              <w:rPr>
                <w:sz w:val="12"/>
                <w:szCs w:val="12"/>
                <w:color w:val="auto"/>
              </w:rPr>
            </w:pPr>
          </w:p>
        </w:tc>
        <w:tc>
          <w:tcPr>
            <w:tcW w:w="2560" w:type="dxa"/>
            <w:vAlign w:val="bottom"/>
            <w:tcBorders>
              <w:top w:val="single" w:sz="8" w:color="0000FF"/>
              <w:bottom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w w:val="98"/>
              </w:rPr>
            </w:pPr>
            <w:hyperlink r:id="rId134">
              <w:r>
                <w:rPr>
                  <w:rFonts w:ascii="Times New Roman" w:cs="Times New Roman" w:eastAsia="Times New Roman" w:hAnsi="Times New Roman"/>
                  <w:sz w:val="16"/>
                  <w:szCs w:val="16"/>
                  <w:color w:val="0000FF"/>
                  <w:w w:val="98"/>
                </w:rPr>
                <w:t>12, 2025, between Noodles &amp; Company</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1660" w:type="dxa"/>
            <w:vAlign w:val="bottom"/>
            <w:tcBorders>
              <w:top w:val="single" w:sz="8" w:color="CCEEFF"/>
              <w:bottom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6"/>
                <w:szCs w:val="16"/>
                <w:color w:val="auto"/>
              </w:rPr>
              <w:t>2025</w:t>
            </w:r>
          </w:p>
        </w:tc>
        <w:tc>
          <w:tcPr>
            <w:tcW w:w="28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shd w:val="clear" w:color="auto" w:fill="CCEEFF"/>
          </w:tcPr>
          <w:p>
            <w:pPr>
              <w:spacing w:after="0"/>
              <w:rPr>
                <w:sz w:val="12"/>
                <w:szCs w:val="12"/>
                <w:color w:val="auto"/>
              </w:rPr>
            </w:pPr>
          </w:p>
        </w:tc>
        <w:tc>
          <w:tcPr>
            <w:tcW w:w="2600" w:type="dxa"/>
            <w:vAlign w:val="bottom"/>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and Joseph Christina</w:t>
              </w:r>
            </w:hyperlink>
          </w:p>
        </w:tc>
        <w:tc>
          <w:tcPr>
            <w:tcW w:w="140" w:type="dxa"/>
            <w:vAlign w:val="bottom"/>
            <w:gridSpan w:val="7"/>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10.45*</w:t>
            </w:r>
          </w:p>
        </w:tc>
        <w:tc>
          <w:tcPr>
            <w:tcW w:w="2380" w:type="dxa"/>
            <w:vAlign w:val="bottom"/>
            <w:tcBorders>
              <w:bottom w:val="single" w:sz="8" w:color="0000FF"/>
            </w:tcBorders>
            <w:gridSpan w:val="17"/>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Amended and Restated Employment</w:t>
              </w:r>
            </w:hyperlink>
          </w:p>
        </w:tc>
        <w:tc>
          <w:tcPr>
            <w:tcW w:w="560" w:type="dxa"/>
            <w:vAlign w:val="bottom"/>
            <w:gridSpan w:val="20"/>
          </w:tcPr>
          <w:p>
            <w:pPr>
              <w:spacing w:after="0"/>
              <w:rPr>
                <w:sz w:val="15"/>
                <w:szCs w:val="15"/>
                <w:color w:val="auto"/>
              </w:rPr>
            </w:pPr>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August 14,</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940" w:type="dxa"/>
            <w:vAlign w:val="bottom"/>
            <w:gridSpan w:val="37"/>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Agreement, between Noodles &amp; Company</w:t>
              </w:r>
            </w:hyperlink>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ind w:left="440"/>
              <w:spacing w:after="0" w:line="142" w:lineRule="exact"/>
              <w:rPr>
                <w:sz w:val="20"/>
                <w:szCs w:val="20"/>
                <w:color w:val="auto"/>
              </w:rPr>
            </w:pPr>
            <w:r>
              <w:rPr>
                <w:rFonts w:ascii="Times New Roman" w:cs="Times New Roman" w:eastAsia="Times New Roman" w:hAnsi="Times New Roman"/>
                <w:sz w:val="16"/>
                <w:szCs w:val="16"/>
                <w:color w:val="auto"/>
              </w:rPr>
              <w:t>2025</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33"/>
          </w:tcPr>
          <w:p>
            <w:pPr>
              <w:spacing w:after="0" w:line="142" w:lineRule="exact"/>
              <w:rPr>
                <w:rFonts w:ascii="Times New Roman" w:cs="Times New Roman" w:eastAsia="Times New Roman" w:hAnsi="Times New Roman"/>
                <w:sz w:val="16"/>
                <w:szCs w:val="16"/>
                <w:color w:val="0000FF"/>
                <w:w w:val="99"/>
              </w:rPr>
            </w:pPr>
            <w:hyperlink r:id="rId135">
              <w:r>
                <w:rPr>
                  <w:rFonts w:ascii="Times New Roman" w:cs="Times New Roman" w:eastAsia="Times New Roman" w:hAnsi="Times New Roman"/>
                  <w:sz w:val="16"/>
                  <w:szCs w:val="16"/>
                  <w:color w:val="0000FF"/>
                  <w:w w:val="99"/>
                </w:rPr>
                <w:t>and Joseph Christina dated August 5, 2025</w:t>
              </w:r>
            </w:hyperlink>
          </w:p>
        </w:tc>
        <w:tc>
          <w:tcPr>
            <w:tcW w:w="20" w:type="dxa"/>
            <w:vAlign w:val="bottom"/>
            <w:tcBorders>
              <w:bottom w:val="single" w:sz="8" w:color="0000FF"/>
            </w:tcBorders>
          </w:tcPr>
          <w:p>
            <w:pPr>
              <w:spacing w:after="0"/>
              <w:rPr>
                <w:sz w:val="12"/>
                <w:szCs w:val="12"/>
                <w:color w:val="auto"/>
              </w:rPr>
            </w:pPr>
          </w:p>
        </w:tc>
        <w:tc>
          <w:tcPr>
            <w:tcW w:w="18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16</w:t>
            </w:r>
          </w:p>
        </w:tc>
        <w:tc>
          <w:tcPr>
            <w:tcW w:w="294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Letter from Ernst &amp; Young LLP</w:t>
              </w:r>
            </w:hyperlink>
          </w:p>
        </w:tc>
        <w:tc>
          <w:tcPr>
            <w:tcW w:w="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60" w:type="dxa"/>
            <w:vAlign w:val="bottom"/>
            <w:shd w:val="clear" w:color="auto" w:fill="CCEEFF"/>
          </w:tcPr>
          <w:p>
            <w:pPr>
              <w:ind w:left="440"/>
              <w:spacing w:after="0" w:line="175" w:lineRule="exact"/>
              <w:rPr>
                <w:sz w:val="20"/>
                <w:szCs w:val="20"/>
                <w:color w:val="auto"/>
              </w:rPr>
            </w:pPr>
            <w:r>
              <w:rPr>
                <w:rFonts w:ascii="Times New Roman" w:cs="Times New Roman" w:eastAsia="Times New Roman" w:hAnsi="Times New Roman"/>
                <w:sz w:val="16"/>
                <w:szCs w:val="16"/>
                <w:color w:val="auto"/>
              </w:rPr>
              <w:t>September 12,</w:t>
            </w:r>
          </w:p>
        </w:tc>
        <w:tc>
          <w:tcPr>
            <w:tcW w:w="2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3"/>
        </w:trPr>
        <w:tc>
          <w:tcPr>
            <w:tcW w:w="14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ind w:left="440"/>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8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tcPr>
          <w:p>
            <w:pPr>
              <w:jc w:val="right"/>
              <w:ind w:right="1099"/>
              <w:spacing w:after="0" w:line="175" w:lineRule="exact"/>
              <w:rPr>
                <w:sz w:val="20"/>
                <w:szCs w:val="20"/>
                <w:color w:val="auto"/>
              </w:rPr>
            </w:pPr>
            <w:r>
              <w:rPr>
                <w:rFonts w:ascii="Times New Roman" w:cs="Times New Roman" w:eastAsia="Times New Roman" w:hAnsi="Times New Roman"/>
                <w:sz w:val="16"/>
                <w:szCs w:val="16"/>
                <w:color w:val="auto"/>
                <w:w w:val="99"/>
              </w:rPr>
              <w:t>19.1</w:t>
            </w:r>
          </w:p>
        </w:tc>
        <w:tc>
          <w:tcPr>
            <w:tcW w:w="54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Insider Trading Policy</w:t>
            </w:r>
          </w:p>
        </w:tc>
        <w:tc>
          <w:tcPr>
            <w:tcW w:w="4360" w:type="dxa"/>
            <w:vAlign w:val="bottom"/>
          </w:tcPr>
          <w:p>
            <w:pPr>
              <w:ind w:left="32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1"/>
        </w:trPr>
        <w:tc>
          <w:tcPr>
            <w:tcW w:w="14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76"/>
        </w:trPr>
        <w:tc>
          <w:tcPr>
            <w:tcW w:w="1480" w:type="dxa"/>
            <w:vAlign w:val="bottom"/>
            <w:shd w:val="clear" w:color="auto" w:fill="CCEEFF"/>
          </w:tcPr>
          <w:p>
            <w:pPr>
              <w:jc w:val="right"/>
              <w:ind w:right="1099"/>
              <w:spacing w:after="0" w:line="175" w:lineRule="exact"/>
              <w:rPr>
                <w:sz w:val="20"/>
                <w:szCs w:val="20"/>
                <w:color w:val="auto"/>
              </w:rPr>
            </w:pPr>
            <w:r>
              <w:rPr>
                <w:rFonts w:ascii="Times New Roman" w:cs="Times New Roman" w:eastAsia="Times New Roman" w:hAnsi="Times New Roman"/>
                <w:sz w:val="16"/>
                <w:szCs w:val="16"/>
                <w:color w:val="auto"/>
                <w:w w:val="99"/>
              </w:rPr>
              <w:t>21.1</w:t>
            </w:r>
          </w:p>
        </w:tc>
        <w:tc>
          <w:tcPr>
            <w:tcW w:w="540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List of Subsidiaries of Noodles &amp;</w:t>
            </w:r>
          </w:p>
        </w:tc>
        <w:tc>
          <w:tcPr>
            <w:tcW w:w="4360" w:type="dxa"/>
            <w:vAlign w:val="bottom"/>
            <w:shd w:val="clear" w:color="auto" w:fill="CCEEFF"/>
          </w:tcPr>
          <w:p>
            <w:pPr>
              <w:ind w:left="32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Company</w:t>
            </w:r>
          </w:p>
        </w:tc>
        <w:tc>
          <w:tcPr>
            <w:tcW w:w="3220" w:type="dxa"/>
            <w:vAlign w:val="bottom"/>
            <w:tcBorders>
              <w:top w:val="single" w:sz="8" w:color="CCEEFF"/>
            </w:tcBorders>
            <w:shd w:val="clear" w:color="auto" w:fill="CCEEFF"/>
          </w:tcPr>
          <w:p>
            <w:pPr>
              <w:spacing w:after="0"/>
              <w:rPr>
                <w:sz w:val="12"/>
                <w:szCs w:val="12"/>
                <w:color w:val="auto"/>
              </w:rPr>
            </w:pPr>
          </w:p>
        </w:tc>
        <w:tc>
          <w:tcPr>
            <w:tcW w:w="4360" w:type="dxa"/>
            <w:vAlign w:val="bottom"/>
            <w:tcBorders>
              <w:top w:val="single" w:sz="8" w:color="CCEEFF"/>
            </w:tcBorders>
            <w:shd w:val="clear" w:color="auto" w:fill="CCEEFF"/>
          </w:tcPr>
          <w:p>
            <w:pPr>
              <w:spacing w:after="0"/>
              <w:rPr>
                <w:sz w:val="12"/>
                <w:szCs w:val="12"/>
                <w:color w:val="auto"/>
              </w:rPr>
            </w:pPr>
          </w:p>
        </w:tc>
      </w:tr>
      <w:tr>
        <w:trPr>
          <w:trHeight w:val="21"/>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80" w:type="dxa"/>
            <w:vAlign w:val="bottom"/>
          </w:tcPr>
          <w:p>
            <w:pPr>
              <w:jc w:val="right"/>
              <w:ind w:right="1099"/>
              <w:spacing w:after="0" w:line="175" w:lineRule="exact"/>
              <w:rPr>
                <w:sz w:val="20"/>
                <w:szCs w:val="20"/>
                <w:color w:val="auto"/>
              </w:rPr>
            </w:pPr>
            <w:r>
              <w:rPr>
                <w:rFonts w:ascii="Times New Roman" w:cs="Times New Roman" w:eastAsia="Times New Roman" w:hAnsi="Times New Roman"/>
                <w:sz w:val="16"/>
                <w:szCs w:val="16"/>
                <w:color w:val="auto"/>
                <w:w w:val="99"/>
              </w:rPr>
              <w:t>23.1</w:t>
            </w:r>
          </w:p>
        </w:tc>
        <w:tc>
          <w:tcPr>
            <w:tcW w:w="54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Consent of Grant Thornton LLP</w:t>
            </w:r>
          </w:p>
        </w:tc>
        <w:tc>
          <w:tcPr>
            <w:tcW w:w="4360" w:type="dxa"/>
            <w:vAlign w:val="bottom"/>
          </w:tcPr>
          <w:p>
            <w:pPr>
              <w:ind w:left="32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
        </w:trPr>
        <w:tc>
          <w:tcPr>
            <w:tcW w:w="14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75"/>
        </w:trPr>
        <w:tc>
          <w:tcPr>
            <w:tcW w:w="1480" w:type="dxa"/>
            <w:vAlign w:val="bottom"/>
            <w:shd w:val="clear" w:color="auto" w:fill="CCEEFF"/>
          </w:tcPr>
          <w:p>
            <w:pPr>
              <w:jc w:val="right"/>
              <w:ind w:right="1099"/>
              <w:spacing w:after="0" w:line="175" w:lineRule="exact"/>
              <w:rPr>
                <w:sz w:val="20"/>
                <w:szCs w:val="20"/>
                <w:color w:val="auto"/>
              </w:rPr>
            </w:pPr>
            <w:r>
              <w:rPr>
                <w:rFonts w:ascii="Times New Roman" w:cs="Times New Roman" w:eastAsia="Times New Roman" w:hAnsi="Times New Roman"/>
                <w:sz w:val="16"/>
                <w:szCs w:val="16"/>
                <w:color w:val="auto"/>
                <w:w w:val="99"/>
              </w:rPr>
              <w:t>23.2</w:t>
            </w:r>
          </w:p>
        </w:tc>
        <w:tc>
          <w:tcPr>
            <w:tcW w:w="540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Consent of Ernst &amp; Young LLP</w:t>
            </w:r>
          </w:p>
        </w:tc>
        <w:tc>
          <w:tcPr>
            <w:tcW w:w="4360" w:type="dxa"/>
            <w:vAlign w:val="bottom"/>
            <w:shd w:val="clear" w:color="auto" w:fill="CCEEFF"/>
          </w:tcPr>
          <w:p>
            <w:pPr>
              <w:ind w:left="32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29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Power of Attorney (included on signature</w:t>
            </w: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1480" w:type="dxa"/>
            <w:vAlign w:val="bottom"/>
          </w:tcPr>
          <w:p>
            <w:pPr>
              <w:spacing w:after="0"/>
              <w:rPr>
                <w:sz w:val="12"/>
                <w:szCs w:val="12"/>
                <w:color w:val="auto"/>
              </w:rPr>
            </w:pPr>
          </w:p>
        </w:tc>
        <w:tc>
          <w:tcPr>
            <w:tcW w:w="270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page of this report)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5"/>
        </w:trPr>
        <w:tc>
          <w:tcPr>
            <w:tcW w:w="148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2320" w:type="dxa"/>
            <w:vAlign w:val="bottom"/>
            <w:tcBorders>
              <w:bottom w:val="single" w:sz="8" w:color="0000FF"/>
            </w:tcBorders>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w:t>
            </w:r>
          </w:p>
        </w:tc>
        <w:tc>
          <w:tcPr>
            <w:tcW w:w="620" w:type="dxa"/>
            <w:vAlign w:val="bottom"/>
            <w:tcBorders>
              <w:bottom w:val="single" w:sz="8" w:color="CCEEFF"/>
            </w:tcBorders>
            <w:gridSpan w:val="7"/>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2800" w:type="dxa"/>
            <w:vAlign w:val="bottom"/>
            <w:tcBorders>
              <w:bottom w:val="single" w:sz="8" w:color="CCEEFF"/>
            </w:tcBorders>
            <w:shd w:val="clear" w:color="auto" w:fill="CCEEFF"/>
          </w:tcPr>
          <w:p>
            <w:pPr>
              <w:ind w:left="168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142"/>
        </w:trPr>
        <w:tc>
          <w:tcPr>
            <w:tcW w:w="1480" w:type="dxa"/>
            <w:vAlign w:val="bottom"/>
            <w:shd w:val="clear" w:color="auto" w:fill="CCEEFF"/>
          </w:tcPr>
          <w:p>
            <w:pPr>
              <w:spacing w:after="0"/>
              <w:rPr>
                <w:sz w:val="12"/>
                <w:szCs w:val="12"/>
                <w:color w:val="auto"/>
              </w:rPr>
            </w:pPr>
          </w:p>
        </w:tc>
        <w:tc>
          <w:tcPr>
            <w:tcW w:w="294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Officer pursuant to Section 302 of the</w:t>
            </w:r>
          </w:p>
        </w:tc>
        <w:tc>
          <w:tcPr>
            <w:tcW w:w="8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r>
      <w:tr>
        <w:trPr>
          <w:trHeight w:val="163"/>
        </w:trPr>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1860" w:type="dxa"/>
            <w:vAlign w:val="bottom"/>
            <w:tcBorders>
              <w:top w:val="single" w:sz="8" w:color="0000FF"/>
              <w:bottom w:val="single" w:sz="8" w:color="0000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60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50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294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w:t>
            </w: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0" w:type="dxa"/>
            <w:vAlign w:val="bottom"/>
          </w:tcPr>
          <w:p>
            <w:pPr>
              <w:ind w:left="168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142"/>
        </w:trPr>
        <w:tc>
          <w:tcPr>
            <w:tcW w:w="1480" w:type="dxa"/>
            <w:vAlign w:val="bottom"/>
          </w:tcPr>
          <w:p>
            <w:pPr>
              <w:spacing w:after="0"/>
              <w:rPr>
                <w:sz w:val="12"/>
                <w:szCs w:val="12"/>
                <w:color w:val="auto"/>
              </w:rPr>
            </w:pPr>
          </w:p>
        </w:tc>
        <w:tc>
          <w:tcPr>
            <w:tcW w:w="278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264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16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76"/>
        </w:trPr>
        <w:tc>
          <w:tcPr>
            <w:tcW w:w="14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294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Chief Executive Officer</w:t>
            </w:r>
          </w:p>
        </w:tc>
        <w:tc>
          <w:tcPr>
            <w:tcW w:w="8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800" w:type="dxa"/>
            <w:vAlign w:val="bottom"/>
            <w:shd w:val="clear" w:color="auto" w:fill="CCEEFF"/>
          </w:tcPr>
          <w:p>
            <w:pPr>
              <w:ind w:left="168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142"/>
        </w:trPr>
        <w:tc>
          <w:tcPr>
            <w:tcW w:w="1480" w:type="dxa"/>
            <w:vAlign w:val="bottom"/>
            <w:tcBorders>
              <w:top w:val="single" w:sz="8" w:color="CCEEFF"/>
            </w:tcBorders>
            <w:shd w:val="clear" w:color="auto" w:fill="CCEEFF"/>
          </w:tcPr>
          <w:p>
            <w:pPr>
              <w:spacing w:after="0"/>
              <w:rPr>
                <w:sz w:val="12"/>
                <w:szCs w:val="12"/>
                <w:color w:val="auto"/>
              </w:rPr>
            </w:pPr>
          </w:p>
        </w:tc>
        <w:tc>
          <w:tcPr>
            <w:tcW w:w="2600" w:type="dxa"/>
            <w:vAlign w:val="bottom"/>
            <w:tcBorders>
              <w:top w:val="single" w:sz="8" w:color="0000FF"/>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and Chief Financial Officer Section 906</w:t>
            </w:r>
          </w:p>
        </w:tc>
        <w:tc>
          <w:tcPr>
            <w:tcW w:w="340" w:type="dxa"/>
            <w:vAlign w:val="bottom"/>
            <w:tcBorders>
              <w:top w:val="single" w:sz="8" w:color="CCEEFF"/>
            </w:tcBorders>
            <w:gridSpan w:val="5"/>
            <w:shd w:val="clear" w:color="auto" w:fill="CCEEFF"/>
          </w:tcPr>
          <w:p>
            <w:pPr>
              <w:ind w:left="40"/>
              <w:spacing w:after="0" w:line="142" w:lineRule="exact"/>
              <w:rPr>
                <w:sz w:val="20"/>
                <w:szCs w:val="20"/>
                <w:color w:val="auto"/>
              </w:rPr>
            </w:pPr>
            <w:r>
              <w:rPr>
                <w:rFonts w:ascii="Times New Roman" w:cs="Times New Roman" w:eastAsia="Times New Roman" w:hAnsi="Times New Roman"/>
                <w:sz w:val="16"/>
                <w:szCs w:val="16"/>
                <w:color w:val="0000FF"/>
              </w:rPr>
              <w:t>of</w:t>
            </w:r>
          </w:p>
        </w:tc>
        <w:tc>
          <w:tcPr>
            <w:tcW w:w="8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r>
      <w:tr>
        <w:trPr>
          <w:trHeight w:val="163"/>
        </w:trPr>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2100" w:type="dxa"/>
            <w:vAlign w:val="bottom"/>
            <w:tcBorders>
              <w:top w:val="single" w:sz="8" w:color="0000FF"/>
              <w:bottom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70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50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4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97.1</w:t>
            </w:r>
          </w:p>
        </w:tc>
        <w:tc>
          <w:tcPr>
            <w:tcW w:w="2940" w:type="dxa"/>
            <w:vAlign w:val="bottom"/>
            <w:gridSpan w:val="14"/>
          </w:tcPr>
          <w:p>
            <w:pPr>
              <w:spacing w:after="0" w:line="17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Noodles &amp; Company Dodd-Frank</w:t>
              </w:r>
            </w:hyperlink>
          </w:p>
        </w:tc>
        <w:tc>
          <w:tcPr>
            <w:tcW w:w="8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5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001-35987</w:t>
            </w:r>
          </w:p>
        </w:tc>
        <w:tc>
          <w:tcPr>
            <w:tcW w:w="164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March 08, 2024</w:t>
            </w:r>
          </w:p>
        </w:tc>
        <w:tc>
          <w:tcPr>
            <w:tcW w:w="280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97.1</w:t>
            </w:r>
          </w:p>
        </w:tc>
      </w:tr>
      <w:tr>
        <w:trPr>
          <w:trHeight w:val="142"/>
        </w:trPr>
        <w:tc>
          <w:tcPr>
            <w:tcW w:w="1480" w:type="dxa"/>
            <w:vAlign w:val="bottom"/>
          </w:tcPr>
          <w:p>
            <w:pPr>
              <w:spacing w:after="0"/>
              <w:rPr>
                <w:sz w:val="12"/>
                <w:szCs w:val="12"/>
                <w:color w:val="auto"/>
              </w:rPr>
            </w:pPr>
          </w:p>
        </w:tc>
        <w:tc>
          <w:tcPr>
            <w:tcW w:w="222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Clawback Policy</w:t>
              </w:r>
            </w:hyperlink>
          </w:p>
        </w:tc>
        <w:tc>
          <w:tcPr>
            <w:tcW w:w="720" w:type="dxa"/>
            <w:vAlign w:val="bottom"/>
            <w:gridSpan w:val="8"/>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1"/>
        </w:trPr>
        <w:tc>
          <w:tcPr>
            <w:tcW w:w="148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62"/>
        </w:trPr>
        <w:tc>
          <w:tcPr>
            <w:tcW w:w="1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94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w:t>
            </w:r>
          </w:p>
        </w:tc>
        <w:tc>
          <w:tcPr>
            <w:tcW w:w="8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800" w:type="dxa"/>
            <w:vAlign w:val="bottom"/>
            <w:shd w:val="clear" w:color="auto" w:fill="CCEEFF"/>
          </w:tcPr>
          <w:p>
            <w:pPr>
              <w:ind w:left="1680"/>
              <w:spacing w:after="0" w:line="162" w:lineRule="exact"/>
              <w:rPr>
                <w:sz w:val="20"/>
                <w:szCs w:val="20"/>
                <w:color w:val="auto"/>
              </w:rPr>
            </w:pPr>
            <w:r>
              <w:rPr>
                <w:rFonts w:ascii="Times New Roman" w:cs="Times New Roman" w:eastAsia="Times New Roman" w:hAnsi="Times New Roman"/>
                <w:sz w:val="16"/>
                <w:szCs w:val="16"/>
                <w:color w:val="auto"/>
              </w:rPr>
              <w:t>X</w:t>
            </w:r>
          </w:p>
        </w:tc>
      </w:tr>
      <w:tr>
        <w:trPr>
          <w:trHeight w:val="162"/>
        </w:trPr>
        <w:tc>
          <w:tcPr>
            <w:tcW w:w="1480" w:type="dxa"/>
            <w:vAlign w:val="bottom"/>
            <w:shd w:val="clear" w:color="auto" w:fill="CCEEFF"/>
          </w:tcPr>
          <w:p>
            <w:pPr>
              <w:spacing w:after="0"/>
              <w:rPr>
                <w:sz w:val="14"/>
                <w:szCs w:val="14"/>
                <w:color w:val="auto"/>
              </w:rPr>
            </w:pPr>
          </w:p>
        </w:tc>
        <w:tc>
          <w:tcPr>
            <w:tcW w:w="294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instance document does not appear in the</w:t>
            </w:r>
          </w:p>
        </w:tc>
        <w:tc>
          <w:tcPr>
            <w:tcW w:w="8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r>
      <w:tr>
        <w:trPr>
          <w:trHeight w:val="162"/>
        </w:trPr>
        <w:tc>
          <w:tcPr>
            <w:tcW w:w="1480" w:type="dxa"/>
            <w:vAlign w:val="bottom"/>
            <w:shd w:val="clear" w:color="auto" w:fill="CCEEFF"/>
          </w:tcPr>
          <w:p>
            <w:pPr>
              <w:spacing w:after="0"/>
              <w:rPr>
                <w:sz w:val="14"/>
                <w:szCs w:val="14"/>
                <w:color w:val="auto"/>
              </w:rPr>
            </w:pPr>
          </w:p>
        </w:tc>
        <w:tc>
          <w:tcPr>
            <w:tcW w:w="294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w:t>
            </w:r>
          </w:p>
        </w:tc>
        <w:tc>
          <w:tcPr>
            <w:tcW w:w="8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r>
      <w:tr>
        <w:trPr>
          <w:trHeight w:val="162"/>
        </w:trPr>
        <w:tc>
          <w:tcPr>
            <w:tcW w:w="1480" w:type="dxa"/>
            <w:vAlign w:val="bottom"/>
            <w:shd w:val="clear" w:color="auto" w:fill="CCEEFF"/>
          </w:tcPr>
          <w:p>
            <w:pPr>
              <w:spacing w:after="0"/>
              <w:rPr>
                <w:sz w:val="14"/>
                <w:szCs w:val="14"/>
                <w:color w:val="auto"/>
              </w:rPr>
            </w:pPr>
          </w:p>
        </w:tc>
        <w:tc>
          <w:tcPr>
            <w:tcW w:w="294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tags are embedded within the Inline</w:t>
            </w:r>
          </w:p>
        </w:tc>
        <w:tc>
          <w:tcPr>
            <w:tcW w:w="8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r>
      <w:tr>
        <w:trPr>
          <w:trHeight w:val="216"/>
        </w:trPr>
        <w:tc>
          <w:tcPr>
            <w:tcW w:w="1480" w:type="dxa"/>
            <w:vAlign w:val="bottom"/>
            <w:shd w:val="clear" w:color="auto" w:fill="CCEEFF"/>
          </w:tcPr>
          <w:p>
            <w:pPr>
              <w:spacing w:after="0"/>
              <w:rPr>
                <w:sz w:val="18"/>
                <w:szCs w:val="18"/>
                <w:color w:val="auto"/>
              </w:rPr>
            </w:pPr>
          </w:p>
        </w:tc>
        <w:tc>
          <w:tcPr>
            <w:tcW w:w="2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8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162"/>
        </w:trPr>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101.SCH</w:t>
            </w:r>
          </w:p>
        </w:tc>
        <w:tc>
          <w:tcPr>
            <w:tcW w:w="2940" w:type="dxa"/>
            <w:vAlign w:val="bottom"/>
            <w:gridSpan w:val="14"/>
          </w:tcPr>
          <w:p>
            <w:pPr>
              <w:spacing w:after="0" w:line="162" w:lineRule="exact"/>
              <w:rPr>
                <w:sz w:val="20"/>
                <w:szCs w:val="20"/>
                <w:color w:val="auto"/>
              </w:rPr>
            </w:pPr>
            <w:r>
              <w:rPr>
                <w:rFonts w:ascii="Times New Roman" w:cs="Times New Roman" w:eastAsia="Times New Roman" w:hAnsi="Times New Roman"/>
                <w:sz w:val="16"/>
                <w:szCs w:val="16"/>
                <w:color w:val="auto"/>
              </w:rPr>
              <w:t>Inline XBRL Taxonomy Extension</w:t>
            </w: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tcPr>
          <w:p>
            <w:pPr>
              <w:ind w:left="1680"/>
              <w:spacing w:after="0" w:line="162" w:lineRule="exact"/>
              <w:rPr>
                <w:sz w:val="20"/>
                <w:szCs w:val="20"/>
                <w:color w:val="auto"/>
              </w:rPr>
            </w:pPr>
            <w:r>
              <w:rPr>
                <w:rFonts w:ascii="Times New Roman" w:cs="Times New Roman" w:eastAsia="Times New Roman" w:hAnsi="Times New Roman"/>
                <w:sz w:val="16"/>
                <w:szCs w:val="16"/>
                <w:color w:val="auto"/>
              </w:rPr>
              <w:t>X</w:t>
            </w:r>
          </w:p>
        </w:tc>
      </w:tr>
      <w:tr>
        <w:trPr>
          <w:trHeight w:val="213"/>
        </w:trPr>
        <w:tc>
          <w:tcPr>
            <w:tcW w:w="1480" w:type="dxa"/>
            <w:vAlign w:val="bottom"/>
          </w:tcPr>
          <w:p>
            <w:pPr>
              <w:spacing w:after="0"/>
              <w:rPr>
                <w:sz w:val="18"/>
                <w:szCs w:val="18"/>
                <w:color w:val="auto"/>
              </w:rPr>
            </w:pPr>
          </w:p>
        </w:tc>
        <w:tc>
          <w:tcPr>
            <w:tcW w:w="29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Schema Document</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65"/>
        </w:trPr>
        <w:tc>
          <w:tcPr>
            <w:tcW w:w="1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101.CAL</w:t>
            </w:r>
          </w:p>
        </w:tc>
        <w:tc>
          <w:tcPr>
            <w:tcW w:w="2940" w:type="dxa"/>
            <w:vAlign w:val="bottom"/>
            <w:gridSpan w:val="14"/>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Inline XBRL Taxonomy Extension</w:t>
            </w:r>
          </w:p>
        </w:tc>
        <w:tc>
          <w:tcPr>
            <w:tcW w:w="8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800" w:type="dxa"/>
            <w:vAlign w:val="bottom"/>
            <w:shd w:val="clear" w:color="auto" w:fill="CCEEFF"/>
          </w:tcPr>
          <w:p>
            <w:pPr>
              <w:ind w:left="1680"/>
              <w:spacing w:after="0" w:line="165" w:lineRule="exact"/>
              <w:rPr>
                <w:sz w:val="20"/>
                <w:szCs w:val="20"/>
                <w:color w:val="auto"/>
              </w:rPr>
            </w:pPr>
            <w:r>
              <w:rPr>
                <w:rFonts w:ascii="Times New Roman" w:cs="Times New Roman" w:eastAsia="Times New Roman" w:hAnsi="Times New Roman"/>
                <w:sz w:val="16"/>
                <w:szCs w:val="16"/>
                <w:color w:val="auto"/>
              </w:rPr>
              <w:t>X</w:t>
            </w:r>
          </w:p>
        </w:tc>
      </w:tr>
      <w:tr>
        <w:trPr>
          <w:trHeight w:val="216"/>
        </w:trPr>
        <w:tc>
          <w:tcPr>
            <w:tcW w:w="1480" w:type="dxa"/>
            <w:vAlign w:val="bottom"/>
            <w:shd w:val="clear" w:color="auto" w:fill="CCEEFF"/>
          </w:tcPr>
          <w:p>
            <w:pPr>
              <w:spacing w:after="0"/>
              <w:rPr>
                <w:sz w:val="18"/>
                <w:szCs w:val="18"/>
                <w:color w:val="auto"/>
              </w:rPr>
            </w:pPr>
          </w:p>
        </w:tc>
        <w:tc>
          <w:tcPr>
            <w:tcW w:w="2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Calculation Linkbase Document</w:t>
            </w:r>
          </w:p>
        </w:tc>
        <w:tc>
          <w:tcPr>
            <w:tcW w:w="8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162"/>
        </w:trPr>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101.DEF</w:t>
            </w:r>
          </w:p>
        </w:tc>
        <w:tc>
          <w:tcPr>
            <w:tcW w:w="2940" w:type="dxa"/>
            <w:vAlign w:val="bottom"/>
            <w:gridSpan w:val="14"/>
          </w:tcPr>
          <w:p>
            <w:pPr>
              <w:spacing w:after="0" w:line="162" w:lineRule="exact"/>
              <w:rPr>
                <w:sz w:val="20"/>
                <w:szCs w:val="20"/>
                <w:color w:val="auto"/>
              </w:rPr>
            </w:pPr>
            <w:r>
              <w:rPr>
                <w:rFonts w:ascii="Times New Roman" w:cs="Times New Roman" w:eastAsia="Times New Roman" w:hAnsi="Times New Roman"/>
                <w:sz w:val="16"/>
                <w:szCs w:val="16"/>
                <w:color w:val="auto"/>
              </w:rPr>
              <w:t>Inline XBRL Taxonomy Extension</w:t>
            </w: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tcPr>
          <w:p>
            <w:pPr>
              <w:ind w:left="1680"/>
              <w:spacing w:after="0" w:line="162" w:lineRule="exact"/>
              <w:rPr>
                <w:sz w:val="20"/>
                <w:szCs w:val="20"/>
                <w:color w:val="auto"/>
              </w:rPr>
            </w:pPr>
            <w:r>
              <w:rPr>
                <w:rFonts w:ascii="Times New Roman" w:cs="Times New Roman" w:eastAsia="Times New Roman" w:hAnsi="Times New Roman"/>
                <w:sz w:val="16"/>
                <w:szCs w:val="16"/>
                <w:color w:val="auto"/>
              </w:rPr>
              <w:t>X</w:t>
            </w:r>
          </w:p>
        </w:tc>
      </w:tr>
      <w:tr>
        <w:trPr>
          <w:trHeight w:val="213"/>
        </w:trPr>
        <w:tc>
          <w:tcPr>
            <w:tcW w:w="1480" w:type="dxa"/>
            <w:vAlign w:val="bottom"/>
          </w:tcPr>
          <w:p>
            <w:pPr>
              <w:spacing w:after="0"/>
              <w:rPr>
                <w:sz w:val="18"/>
                <w:szCs w:val="18"/>
                <w:color w:val="auto"/>
              </w:rPr>
            </w:pPr>
          </w:p>
        </w:tc>
        <w:tc>
          <w:tcPr>
            <w:tcW w:w="29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Definition Linkbase Document</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65"/>
        </w:trPr>
        <w:tc>
          <w:tcPr>
            <w:tcW w:w="1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101.LAB</w:t>
            </w:r>
          </w:p>
        </w:tc>
        <w:tc>
          <w:tcPr>
            <w:tcW w:w="2940" w:type="dxa"/>
            <w:vAlign w:val="bottom"/>
            <w:gridSpan w:val="14"/>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Inline XBRL Taxonomy Extension Label</w:t>
            </w:r>
          </w:p>
        </w:tc>
        <w:tc>
          <w:tcPr>
            <w:tcW w:w="8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800" w:type="dxa"/>
            <w:vAlign w:val="bottom"/>
            <w:shd w:val="clear" w:color="auto" w:fill="CCEEFF"/>
          </w:tcPr>
          <w:p>
            <w:pPr>
              <w:ind w:left="1680"/>
              <w:spacing w:after="0" w:line="165" w:lineRule="exact"/>
              <w:rPr>
                <w:sz w:val="20"/>
                <w:szCs w:val="20"/>
                <w:color w:val="auto"/>
              </w:rPr>
            </w:pPr>
            <w:r>
              <w:rPr>
                <w:rFonts w:ascii="Times New Roman" w:cs="Times New Roman" w:eastAsia="Times New Roman" w:hAnsi="Times New Roman"/>
                <w:sz w:val="16"/>
                <w:szCs w:val="16"/>
                <w:color w:val="auto"/>
              </w:rPr>
              <w:t>X</w:t>
            </w:r>
          </w:p>
        </w:tc>
      </w:tr>
      <w:tr>
        <w:trPr>
          <w:trHeight w:val="216"/>
        </w:trPr>
        <w:tc>
          <w:tcPr>
            <w:tcW w:w="1480" w:type="dxa"/>
            <w:vAlign w:val="bottom"/>
            <w:shd w:val="clear" w:color="auto" w:fill="CCEEFF"/>
          </w:tcPr>
          <w:p>
            <w:pPr>
              <w:spacing w:after="0"/>
              <w:rPr>
                <w:sz w:val="18"/>
                <w:szCs w:val="18"/>
                <w:color w:val="auto"/>
              </w:rPr>
            </w:pPr>
          </w:p>
        </w:tc>
        <w:tc>
          <w:tcPr>
            <w:tcW w:w="2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Linkbase Document</w:t>
            </w:r>
          </w:p>
        </w:tc>
        <w:tc>
          <w:tcPr>
            <w:tcW w:w="8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162"/>
        </w:trPr>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101.PRE</w:t>
            </w:r>
          </w:p>
        </w:tc>
        <w:tc>
          <w:tcPr>
            <w:tcW w:w="2940" w:type="dxa"/>
            <w:vAlign w:val="bottom"/>
            <w:gridSpan w:val="14"/>
          </w:tcPr>
          <w:p>
            <w:pPr>
              <w:spacing w:after="0" w:line="162" w:lineRule="exact"/>
              <w:rPr>
                <w:sz w:val="20"/>
                <w:szCs w:val="20"/>
                <w:color w:val="auto"/>
              </w:rPr>
            </w:pPr>
            <w:r>
              <w:rPr>
                <w:rFonts w:ascii="Times New Roman" w:cs="Times New Roman" w:eastAsia="Times New Roman" w:hAnsi="Times New Roman"/>
                <w:sz w:val="16"/>
                <w:szCs w:val="16"/>
                <w:color w:val="auto"/>
              </w:rPr>
              <w:t>Inline XBRL Taxonomy Extension</w:t>
            </w: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tcPr>
          <w:p>
            <w:pPr>
              <w:ind w:left="1680"/>
              <w:spacing w:after="0" w:line="162" w:lineRule="exact"/>
              <w:rPr>
                <w:sz w:val="20"/>
                <w:szCs w:val="20"/>
                <w:color w:val="auto"/>
              </w:rPr>
            </w:pPr>
            <w:r>
              <w:rPr>
                <w:rFonts w:ascii="Times New Roman" w:cs="Times New Roman" w:eastAsia="Times New Roman" w:hAnsi="Times New Roman"/>
                <w:sz w:val="16"/>
                <w:szCs w:val="16"/>
                <w:color w:val="auto"/>
              </w:rPr>
              <w:t>X</w:t>
            </w:r>
          </w:p>
        </w:tc>
      </w:tr>
      <w:tr>
        <w:trPr>
          <w:trHeight w:val="213"/>
        </w:trPr>
        <w:tc>
          <w:tcPr>
            <w:tcW w:w="1480" w:type="dxa"/>
            <w:vAlign w:val="bottom"/>
          </w:tcPr>
          <w:p>
            <w:pPr>
              <w:spacing w:after="0"/>
              <w:rPr>
                <w:sz w:val="18"/>
                <w:szCs w:val="18"/>
                <w:color w:val="auto"/>
              </w:rPr>
            </w:pPr>
          </w:p>
        </w:tc>
        <w:tc>
          <w:tcPr>
            <w:tcW w:w="29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Presentation Linkbase Document</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65"/>
        </w:trPr>
        <w:tc>
          <w:tcPr>
            <w:tcW w:w="1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104</w:t>
            </w:r>
          </w:p>
        </w:tc>
        <w:tc>
          <w:tcPr>
            <w:tcW w:w="2940" w:type="dxa"/>
            <w:vAlign w:val="bottom"/>
            <w:gridSpan w:val="14"/>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Cover Page Interactive Data File</w:t>
            </w:r>
          </w:p>
        </w:tc>
        <w:tc>
          <w:tcPr>
            <w:tcW w:w="8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800" w:type="dxa"/>
            <w:vAlign w:val="bottom"/>
            <w:shd w:val="clear" w:color="auto" w:fill="CCEEFF"/>
          </w:tcPr>
          <w:p>
            <w:pPr>
              <w:ind w:left="1680"/>
              <w:spacing w:after="0" w:line="165" w:lineRule="exact"/>
              <w:rPr>
                <w:sz w:val="20"/>
                <w:szCs w:val="20"/>
                <w:color w:val="auto"/>
              </w:rPr>
            </w:pPr>
            <w:r>
              <w:rPr>
                <w:rFonts w:ascii="Times New Roman" w:cs="Times New Roman" w:eastAsia="Times New Roman" w:hAnsi="Times New Roman"/>
                <w:sz w:val="16"/>
                <w:szCs w:val="16"/>
                <w:color w:val="auto"/>
              </w:rPr>
              <w:t>X</w:t>
            </w:r>
          </w:p>
        </w:tc>
      </w:tr>
      <w:tr>
        <w:trPr>
          <w:trHeight w:val="162"/>
        </w:trPr>
        <w:tc>
          <w:tcPr>
            <w:tcW w:w="1480" w:type="dxa"/>
            <w:vAlign w:val="bottom"/>
            <w:shd w:val="clear" w:color="auto" w:fill="CCEEFF"/>
          </w:tcPr>
          <w:p>
            <w:pPr>
              <w:spacing w:after="0"/>
              <w:rPr>
                <w:sz w:val="14"/>
                <w:szCs w:val="14"/>
                <w:color w:val="auto"/>
              </w:rPr>
            </w:pPr>
          </w:p>
        </w:tc>
        <w:tc>
          <w:tcPr>
            <w:tcW w:w="294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(formatted as Inline XBRL and contained</w:t>
            </w:r>
          </w:p>
        </w:tc>
        <w:tc>
          <w:tcPr>
            <w:tcW w:w="8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r>
      <w:tr>
        <w:trPr>
          <w:trHeight w:val="216"/>
        </w:trPr>
        <w:tc>
          <w:tcPr>
            <w:tcW w:w="1480" w:type="dxa"/>
            <w:vAlign w:val="bottom"/>
            <w:shd w:val="clear" w:color="auto" w:fill="CCEEFF"/>
          </w:tcPr>
          <w:p>
            <w:pPr>
              <w:spacing w:after="0"/>
              <w:rPr>
                <w:sz w:val="18"/>
                <w:szCs w:val="18"/>
                <w:color w:val="auto"/>
              </w:rPr>
            </w:pPr>
          </w:p>
        </w:tc>
        <w:tc>
          <w:tcPr>
            <w:tcW w:w="2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8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0"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26, 2026.</w:t>
      </w:r>
    </w:p>
    <w:p>
      <w:pPr>
        <w:spacing w:after="0" w:line="2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NOODLES &amp; COMPANY</w:t>
      </w:r>
    </w:p>
    <w:p>
      <w:pPr>
        <w:spacing w:after="0" w:line="3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JOSEPH CHRISTINA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29317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Christina</w:t>
      </w:r>
    </w:p>
    <w:p>
      <w:pPr>
        <w:spacing w:after="0" w:line="6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Kathy Lockhart as such person’s true and lawful attorney-in-fact and agent, with full power of substitution and re-substitution, for such person and in such person’s name, place and stead, in any and all capacities, to sign any and all amendments to this Report,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such person might or could do in person, hereby ratifying and confirming all that said attorney-in-fact and agent or their or such person’s substitute or substitutes, may lawfully do or cause to be done by virtue thereof.</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5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520" w:type="dxa"/>
            <w:vAlign w:val="bottom"/>
          </w:tcPr>
          <w:p>
            <w:pPr>
              <w:spacing w:after="0"/>
              <w:rPr>
                <w:sz w:val="18"/>
                <w:szCs w:val="18"/>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JOSEPH CHRISTINA</w:t>
            </w:r>
          </w:p>
        </w:tc>
        <w:tc>
          <w:tcPr>
            <w:tcW w:w="538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 Chief Executive Officer</w:t>
            </w:r>
          </w:p>
        </w:tc>
        <w:tc>
          <w:tcPr>
            <w:tcW w:w="266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8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Joseph Christina</w:t>
            </w:r>
          </w:p>
        </w:tc>
        <w:tc>
          <w:tcPr>
            <w:tcW w:w="5380" w:type="dxa"/>
            <w:vAlign w:val="bottom"/>
            <w:gridSpan w:val="3"/>
            <w:vMerge w:val="continue"/>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MIKE HYNES</w:t>
            </w:r>
          </w:p>
        </w:tc>
        <w:tc>
          <w:tcPr>
            <w:tcW w:w="538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6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8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rPr>
              <w:t>Mike Hynes</w:t>
            </w:r>
          </w:p>
        </w:tc>
        <w:tc>
          <w:tcPr>
            <w:tcW w:w="5380" w:type="dxa"/>
            <w:vAlign w:val="bottom"/>
            <w:gridSpan w:val="3"/>
            <w:vMerge w:val="continue"/>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 KATHY LOCKHART</w:t>
            </w:r>
          </w:p>
        </w:tc>
        <w:tc>
          <w:tcPr>
            <w:tcW w:w="538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66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8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rPr>
              <w:t>Kathy Lockhart</w:t>
            </w:r>
          </w:p>
        </w:tc>
        <w:tc>
          <w:tcPr>
            <w:tcW w:w="5380" w:type="dxa"/>
            <w:vAlign w:val="bottom"/>
            <w:gridSpan w:val="3"/>
            <w:vMerge w:val="continue"/>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JEFFREY JONES</w:t>
            </w:r>
          </w:p>
        </w:tc>
        <w:tc>
          <w:tcPr>
            <w:tcW w:w="5380" w:type="dxa"/>
            <w:vAlign w:val="bottom"/>
            <w:gridSpan w:val="3"/>
            <w:vMerge w:val="restart"/>
          </w:tcPr>
          <w:p>
            <w:pPr>
              <w:jc w:val="center"/>
              <w:ind w:left="670"/>
              <w:spacing w:after="0"/>
              <w:rPr>
                <w:sz w:val="20"/>
                <w:szCs w:val="20"/>
                <w:color w:val="auto"/>
              </w:rPr>
            </w:pPr>
            <w:r>
              <w:rPr>
                <w:rFonts w:ascii="Times New Roman" w:cs="Times New Roman" w:eastAsia="Times New Roman" w:hAnsi="Times New Roman"/>
                <w:sz w:val="18"/>
                <w:szCs w:val="18"/>
                <w:color w:val="auto"/>
                <w:w w:val="98"/>
              </w:rPr>
              <w:t>Chairman</w:t>
            </w:r>
          </w:p>
        </w:tc>
        <w:tc>
          <w:tcPr>
            <w:tcW w:w="266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Jeffrey Jones</w:t>
            </w:r>
          </w:p>
        </w:tc>
        <w:tc>
          <w:tcPr>
            <w:tcW w:w="5380" w:type="dxa"/>
            <w:vAlign w:val="bottom"/>
            <w:gridSpan w:val="3"/>
            <w:vMerge w:val="continue"/>
          </w:tcPr>
          <w:p>
            <w:pPr>
              <w:spacing w:after="0"/>
              <w:rPr>
                <w:sz w:val="19"/>
                <w:szCs w:val="19"/>
                <w:color w:val="auto"/>
              </w:rPr>
            </w:pPr>
          </w:p>
        </w:tc>
        <w:tc>
          <w:tcPr>
            <w:tcW w:w="26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HARTNETT</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Hartnett</w:t>
            </w:r>
          </w:p>
        </w:tc>
        <w:tc>
          <w:tcPr>
            <w:tcW w:w="3360" w:type="dxa"/>
            <w:vAlign w:val="bottom"/>
          </w:tcPr>
          <w:p>
            <w:pPr>
              <w:ind w:left="27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EGAN</w:t>
            </w:r>
          </w:p>
        </w:tc>
        <w:tc>
          <w:tcPr>
            <w:tcW w:w="3360" w:type="dxa"/>
            <w:vAlign w:val="bottom"/>
            <w:vMerge w:val="restart"/>
          </w:tcPr>
          <w:p>
            <w:pPr>
              <w:ind w:left="27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1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Mary Egan</w:t>
            </w:r>
          </w:p>
        </w:tc>
        <w:tc>
          <w:tcPr>
            <w:tcW w:w="3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LYNCH</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 Lynch</w:t>
            </w:r>
          </w:p>
        </w:tc>
        <w:tc>
          <w:tcPr>
            <w:tcW w:w="3360" w:type="dxa"/>
            <w:vAlign w:val="bottom"/>
          </w:tcPr>
          <w:p>
            <w:pPr>
              <w:ind w:left="27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DREW MADSEN</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Drew Madsen</w:t>
            </w:r>
          </w:p>
        </w:tc>
        <w:tc>
          <w:tcPr>
            <w:tcW w:w="3360" w:type="dxa"/>
            <w:vAlign w:val="bottom"/>
          </w:tcPr>
          <w:p>
            <w:pPr>
              <w:ind w:left="27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BRITAIN PEAKES</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Britain Peakes</w:t>
            </w:r>
          </w:p>
        </w:tc>
        <w:tc>
          <w:tcPr>
            <w:tcW w:w="3360" w:type="dxa"/>
            <w:vAlign w:val="bottom"/>
          </w:tcPr>
          <w:p>
            <w:pPr>
              <w:ind w:left="27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ELISA SCHREIBER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Elisa Schreiber</w:t>
            </w:r>
          </w:p>
        </w:tc>
        <w:tc>
          <w:tcPr>
            <w:tcW w:w="3360" w:type="dxa"/>
            <w:vAlign w:val="bottom"/>
          </w:tcPr>
          <w:p>
            <w:pPr>
              <w:ind w:left="27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SHAWN TAYLOR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Shawn Taylor</w:t>
            </w:r>
          </w:p>
        </w:tc>
        <w:tc>
          <w:tcPr>
            <w:tcW w:w="3360" w:type="dxa"/>
            <w:vAlign w:val="bottom"/>
          </w:tcPr>
          <w:p>
            <w:pPr>
              <w:ind w:left="27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900"/>
        </w:trPr>
        <w:tc>
          <w:tcPr>
            <w:tcW w:w="3180" w:type="dxa"/>
            <w:vAlign w:val="bottom"/>
          </w:tcPr>
          <w:p>
            <w:pPr>
              <w:spacing w:after="0"/>
              <w:rPr>
                <w:sz w:val="24"/>
                <w:szCs w:val="24"/>
                <w:color w:val="auto"/>
              </w:rPr>
            </w:pPr>
          </w:p>
        </w:tc>
        <w:tc>
          <w:tcPr>
            <w:tcW w:w="33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ectPr>
          <w:pgSz w:w="11900" w:h="16838" w:orient="portrait"/>
          <w:cols w:equalWidth="0" w:num="2">
            <w:col w:w="8980" w:space="720"/>
            <w:col w:w="1160"/>
          </w:cols>
          <w:pgMar w:left="320" w:top="270" w:right="7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NOODLES &amp;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(Dated August 28, 2023)</w:t>
      </w:r>
    </w:p>
    <w:p>
      <w:pPr>
        <w:spacing w:after="0" w:line="233"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Introduction</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Federal and state laws prohibit buying, selling or making other transfers of securities by persons who have material information that is not generally known or available to the public. These laws also prohibit persons with such material nonpublic information (“</w:t>
      </w: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from disclosing this information to others who trade.</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light of these prohibitions, Noodles &amp; Company (together with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following policy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xml:space="preserve">”) regarding trading in securities by directors, officers, employees and consultants of the Company who have Material Nonpublic Information (as discussed below). It is the Company’s policy to comply with all applicable securities laws when issuing or repurchasing its securities. This Policy applies to each of such persons during the term of their employment or other relationship with the Company and </w:t>
      </w:r>
      <w:r>
        <w:rPr>
          <w:rFonts w:ascii="Times New Roman" w:cs="Times New Roman" w:eastAsia="Times New Roman" w:hAnsi="Times New Roman"/>
          <w:sz w:val="22"/>
          <w:szCs w:val="22"/>
          <w:b w:val="1"/>
          <w:bCs w:val="1"/>
          <w:u w:val="single" w:color="auto"/>
          <w:color w:val="auto"/>
        </w:rPr>
        <w:t>after</w:t>
      </w:r>
      <w:r>
        <w:rPr>
          <w:rFonts w:ascii="Times New Roman" w:cs="Times New Roman" w:eastAsia="Times New Roman" w:hAnsi="Times New Roman"/>
          <w:sz w:val="22"/>
          <w:szCs w:val="22"/>
          <w:color w:val="auto"/>
        </w:rPr>
        <w:t xml:space="preserve"> the termination of such relationship until such time as such person no longer has Material Nonpublic Information.</w:t>
      </w:r>
    </w:p>
    <w:p>
      <w:pPr>
        <w:spacing w:after="0" w:line="18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22"/>
          <w:szCs w:val="22"/>
          <w:color w:val="auto"/>
        </w:rPr>
        <w:t>You are responsible for ensuring that you do not violate federal or state securities laws or this Policy. The Company designed this Policy to promote compliance with the federal securities laws, to protect the Company and you from the serious liabilities and penalties that can result from violations of these laws and to avoid situations which could damage its reputation for ethical conduct.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you violate insider trading laws, you may have to pay civil fines for up to three times the profit gained or loss avoided by such trading, as well as criminal fines of up to $5 million. You also may have to serve a jail sentence of up to 20 years. In addition, the Company may face civil penalties up to the greater of approximately $1.0 million, or three times the profit gained or loss avoided as a result of your insider trading violations, as well as criminal fines of up to $25 million.</w:t>
      </w:r>
    </w:p>
    <w:p>
      <w:pPr>
        <w:spacing w:after="0" w:line="176"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22"/>
          <w:szCs w:val="22"/>
          <w:color w:val="auto"/>
        </w:rPr>
        <w:t>Both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and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 and at all times. If you have any questions about whether or not you are permitted to engage in a transaction under this Policy, contact the Company’s General Counsel.</w:t>
      </w:r>
    </w:p>
    <w:p>
      <w:pPr>
        <w:sectPr>
          <w:pgSz w:w="11900" w:h="16838" w:orient="portrait"/>
          <w:cols w:equalWidth="0" w:num="1">
            <w:col w:w="11240"/>
          </w:cols>
          <w:pgMar w:left="320" w:top="122" w:right="339" w:bottom="1440" w:gutter="0" w:footer="0" w:header="0"/>
        </w:sectPr>
      </w:pPr>
    </w:p>
    <w:bookmarkStart w:id="82" w:name="page83"/>
    <w:bookmarkEnd w:id="82"/>
    <w:p>
      <w:pPr>
        <w:jc w:val="center"/>
        <w:ind w:left="660" w:right="8600" w:hanging="652"/>
        <w:spacing w:after="0" w:line="471" w:lineRule="auto"/>
        <w:tabs>
          <w:tab w:leader="none" w:pos="450"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 xml:space="preserve">Policies and Procedures </w:t>
      </w:r>
      <w:r>
        <w:rPr>
          <w:rFonts w:ascii="Times New Roman" w:cs="Times New Roman" w:eastAsia="Times New Roman" w:hAnsi="Times New Roman"/>
          <w:sz w:val="21"/>
          <w:szCs w:val="21"/>
          <w:b w:val="1"/>
          <w:bCs w:val="1"/>
          <w:color w:val="auto"/>
        </w:rPr>
        <w:t>A.  Trading Policy</w:t>
      </w:r>
    </w:p>
    <w:p>
      <w:pPr>
        <w:spacing w:after="0" w:line="1" w:lineRule="exact"/>
        <w:rPr>
          <w:sz w:val="20"/>
          <w:szCs w:val="20"/>
          <w:color w:val="auto"/>
        </w:rPr>
      </w:pPr>
    </w:p>
    <w:p>
      <w:pPr>
        <w:jc w:val="both"/>
        <w:ind w:firstLine="656"/>
        <w:spacing w:after="0" w:line="256" w:lineRule="auto"/>
        <w:tabs>
          <w:tab w:leader="none" w:pos="10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not buy or sell a company’s securities when you have Material Nonpublic Information about that company. This policy against “insider trading” applies to trading in Company securities, as well as to trading in the securities of other companies with whom the Company has a business relationship, such as the Company’s customers, distributors and suppliers, partners or a firm with which the Company is negotiating a transaction.</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not convey Material Nonpublic Information about the Company or another company to others. You also may not suggest that anyone purchase or sell any company’s securities while you are aware of Material Nonpublic Information about that company. These practices, known as “tipping,” also violate the U.S. securities laws and can result in the same civil and criminal penalties that apply if you engage in insider trading directly, even if you do not receive any money or derive any benefit from trades made by persons to whom you passed Material Nonpublic Information. This policy against “tipping” applies to information about the Company and its securities, as well as to information about other companies with whom the Company has a business relationship. This policy does not restrict legitimate business communications on a “need to know” basis.</w:t>
      </w:r>
    </w:p>
    <w:p>
      <w:pPr>
        <w:spacing w:after="0" w:line="172" w:lineRule="exact"/>
        <w:rPr>
          <w:rFonts w:ascii="Times New Roman" w:cs="Times New Roman" w:eastAsia="Times New Roman" w:hAnsi="Times New Roman"/>
          <w:sz w:val="21"/>
          <w:szCs w:val="21"/>
          <w:color w:val="auto"/>
        </w:rPr>
      </w:pPr>
    </w:p>
    <w:p>
      <w:pPr>
        <w:jc w:val="both"/>
        <w:ind w:firstLine="656"/>
        <w:spacing w:after="0" w:line="256" w:lineRule="auto"/>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against Company policy for you to engage in short-term or speculative transactions in Company securities. As such, you may not engage in: (a) short-term trading (generally defined as selling Company securities within six months following a purchase); (b) short sales (selling Company securities you do not own); (c) transactions involving publicly traded options or other derivatives, such as trading in puts or calls with respect to Company securities; and (d) hedging transactions.</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1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against Company policy for you to pledge Company securities as collateral for a loan or to hold Company securities in a margin account.</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foregoing restrictions apply to all directors, officers, employees and consultants. These restrictions also apply to anyone that lives in your household (other than household employees). The SEC and federal prosecutors may presume that trading by family members is based on information you supplied and may treat any such transactions as if you had traded yourself. If you have questions regarding the application of this Policy to related persons, please consult with the Company’s General Counsel.</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There is no exception for small transactions or transactions that may seem necessary or justifiable for independent reasons, such as the need to raise money for an emergency expenditure.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Policy, references to “trading” and “transactions” includes, among other things:</w:t>
      </w:r>
    </w:p>
    <w:p>
      <w:pPr>
        <w:spacing w:after="0" w:line="220"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and/or sales of Company securities in public markets;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83" w:name="page84"/>
    <w:bookmarkEnd w:id="83"/>
    <w:p>
      <w:pPr>
        <w:spacing w:after="0" w:line="198"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Company securities obtained through the exercise of employee stock options granted by the Company;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gifts of Company securities;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Company securities to secure a loan.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Directors, officers, employees and consultants should consult the General Counsel if they have any questions.</w:t>
      </w:r>
    </w:p>
    <w:p>
      <w:pPr>
        <w:spacing w:after="0" w:line="216" w:lineRule="exact"/>
        <w:rPr>
          <w:sz w:val="20"/>
          <w:szCs w:val="20"/>
          <w:color w:val="auto"/>
        </w:rPr>
      </w:pPr>
    </w:p>
    <w:p>
      <w:pPr>
        <w:ind w:left="1060" w:hanging="404"/>
        <w:spacing w:after="0"/>
        <w:tabs>
          <w:tab w:leader="none" w:pos="10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is “Material Nonpublic Information”?</w:t>
      </w:r>
    </w:p>
    <w:p>
      <w:pPr>
        <w:spacing w:after="0" w:line="223" w:lineRule="exact"/>
        <w:rPr>
          <w:rFonts w:ascii="Times New Roman" w:cs="Times New Roman" w:eastAsia="Times New Roman" w:hAnsi="Times New Roman"/>
          <w:sz w:val="22"/>
          <w:szCs w:val="22"/>
          <w:b w:val="1"/>
          <w:bCs w:val="1"/>
          <w:color w:val="auto"/>
        </w:rPr>
      </w:pPr>
    </w:p>
    <w:p>
      <w:pPr>
        <w:ind w:left="1680" w:hanging="376"/>
        <w:spacing w:after="0"/>
        <w:tabs>
          <w:tab w:leader="none" w:pos="16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Information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Material information generally means information that a reasonable investor would consider important in making an investment decision to buy, hold, or sell securities. Either positive or negative information may be material. Depending on the circumstances, common examples of information that may be material include:</w:t>
      </w:r>
    </w:p>
    <w:p>
      <w:pPr>
        <w:spacing w:after="0" w:line="167"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revenue or similar financial information;</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unexpected financial results;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unpublished financial reports or projections;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 or liquidity problems;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directors, senior management or auditors;</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current, proposed, or contemplated transactions, business plans, financial restructurings, acquisition targets or significant expansions or contractions of operations;</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 or the declaration of a stock split or the proposed or contemplated issuance, redemption or repurchase of securities;</w:t>
      </w:r>
    </w:p>
    <w:p>
      <w:pPr>
        <w:spacing w:after="0" w:line="171"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defaults under agreements or actions by creditors, clients or suppliers relating to a company’s credit rating;</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major contracts;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 or menu developments or innovations;</w:t>
      </w:r>
    </w:p>
    <w:p>
      <w:pPr>
        <w:spacing w:after="0" w:line="219"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financial problems;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98" w:lineRule="exact"/>
        <w:rPr>
          <w:sz w:val="20"/>
          <w:szCs w:val="20"/>
          <w:color w:val="auto"/>
        </w:rPr>
      </w:pPr>
    </w:p>
    <w:p>
      <w:pPr>
        <w:ind w:left="1300" w:right="20" w:hanging="644"/>
        <w:spacing w:after="0" w:line="271" w:lineRule="auto"/>
        <w:tabs>
          <w:tab w:leader="none" w:pos="129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interruption of production or other aspects of a company’s business as a result of an accident, fire, natural disaster, or breakdown of labor negotiations;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incidents involving foodborne illness;</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environmental incidents;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breaches or other cybersecurity incidents;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institution of, or developments in, major litigation, investigations or regulatory actions or proceedings;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Company affiliates.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Federal and Nasdaq investigators will scrutinize a questionable trade after the fact with the benefit of hindsight, so you should always err on the side of deciding that the information is material and not trade. If you have questions regarding specific transactions, please contact the General Counsel.</w:t>
      </w:r>
    </w:p>
    <w:p>
      <w:pPr>
        <w:spacing w:after="0" w:line="167" w:lineRule="exact"/>
        <w:rPr>
          <w:sz w:val="20"/>
          <w:szCs w:val="20"/>
          <w:color w:val="auto"/>
        </w:rPr>
      </w:pPr>
    </w:p>
    <w:p>
      <w:pPr>
        <w:ind w:left="1680" w:hanging="376"/>
        <w:spacing w:after="0"/>
        <w:tabs>
          <w:tab w:leader="none" w:pos="16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 Information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Nonpublic information is information that is not generally known or available to the public. We consider information to be available to the public only when:</w:t>
      </w:r>
    </w:p>
    <w:p>
      <w:pPr>
        <w:spacing w:after="0" w:line="158" w:lineRule="exact"/>
        <w:rPr>
          <w:sz w:val="20"/>
          <w:szCs w:val="20"/>
          <w:color w:val="auto"/>
        </w:rPr>
      </w:pPr>
    </w:p>
    <w:p>
      <w:pPr>
        <w:ind w:left="980" w:hanging="324"/>
        <w:spacing w:after="0" w:line="284" w:lineRule="auto"/>
        <w:tabs>
          <w:tab w:leader="none" w:pos="97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released to the public by the Company through appropriate channels (e.g., by means of a press release, SEC filing or a widely disseminated statement from a senior officer); and</w:t>
      </w:r>
    </w:p>
    <w:p>
      <w:pPr>
        <w:spacing w:after="0" w:line="143"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enough time has elapsed to permit the investment market to absorb and evaluate the information. As a general rule, you should consider information to be nonpublic until two full trading days have lapsed following the time of public disclosure.</w:t>
      </w:r>
    </w:p>
    <w:p>
      <w:pPr>
        <w:spacing w:after="0" w:line="16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Unauthorized Disclosure</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All directors, officers, employees and consultants must maintain the confidentiality of Company information for competitive, security and other business reasons, as well as to comply with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Guidelines for Public Disclosures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Communications with the Investment Community. If you receive inquiries of this nature, refer them to the General Counsel.</w:t>
      </w:r>
    </w:p>
    <w:p>
      <w:pPr>
        <w:spacing w:after="0" w:line="216"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When and How to Trade Company Stock</w:t>
      </w:r>
    </w:p>
    <w:p>
      <w:pPr>
        <w:spacing w:after="0" w:line="223" w:lineRule="exact"/>
        <w:rPr>
          <w:rFonts w:ascii="Times New Roman" w:cs="Times New Roman" w:eastAsia="Times New Roman" w:hAnsi="Times New Roman"/>
          <w:sz w:val="22"/>
          <w:szCs w:val="22"/>
          <w:b w:val="1"/>
          <w:bCs w:val="1"/>
          <w:color w:val="auto"/>
        </w:rPr>
      </w:pPr>
    </w:p>
    <w:p>
      <w:pPr>
        <w:ind w:left="1680" w:hanging="376"/>
        <w:spacing w:after="0"/>
        <w:tabs>
          <w:tab w:leader="none" w:pos="16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Directors, officers and certain other employees and consultants who are so designated from time to time (such officers and designated employees and consultants, “</w:t>
      </w:r>
      <w:r>
        <w:rPr>
          <w:rFonts w:ascii="Times New Roman" w:cs="Times New Roman" w:eastAsia="Times New Roman" w:hAnsi="Times New Roman"/>
          <w:sz w:val="22"/>
          <w:szCs w:val="22"/>
          <w:u w:val="single" w:color="auto"/>
          <w:color w:val="auto"/>
        </w:rPr>
        <w:t>Restricted Employees</w:t>
      </w:r>
      <w:r>
        <w:rPr>
          <w:rFonts w:ascii="Times New Roman" w:cs="Times New Roman" w:eastAsia="Times New Roman" w:hAnsi="Times New Roman"/>
          <w:sz w:val="22"/>
          <w:szCs w:val="22"/>
          <w:color w:val="auto"/>
        </w:rPr>
        <w:t>”) are for purposes of this Policy required to comply with the restrictions covered below. Even if you are not a director or a Restricted Employee, however, following the procedures listed below may assist you in complying with this Policy.</w:t>
      </w:r>
    </w:p>
    <w:p>
      <w:pPr>
        <w:spacing w:after="0" w:line="179" w:lineRule="exact"/>
        <w:rPr>
          <w:sz w:val="20"/>
          <w:szCs w:val="20"/>
          <w:color w:val="auto"/>
        </w:rPr>
      </w:pPr>
    </w:p>
    <w:p>
      <w:pPr>
        <w:ind w:left="1680" w:hanging="376"/>
        <w:spacing w:after="0"/>
        <w:tabs>
          <w:tab w:leader="none" w:pos="16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Window Periods</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Directors and Restricted Employees may only trade in Company securities from the date that is two full trading days after an earnings release is publicly disclosed to the end of business on the date that is 15 calendar days prior to the end of each quarter (such period, the “</w:t>
      </w:r>
      <w:r>
        <w:rPr>
          <w:rFonts w:ascii="Times New Roman" w:cs="Times New Roman" w:eastAsia="Times New Roman" w:hAnsi="Times New Roman"/>
          <w:sz w:val="22"/>
          <w:szCs w:val="22"/>
          <w:u w:val="single" w:color="auto"/>
          <w:color w:val="auto"/>
        </w:rPr>
        <w:t>Window Period</w:t>
      </w:r>
      <w:r>
        <w:rPr>
          <w:rFonts w:ascii="Times New Roman" w:cs="Times New Roman" w:eastAsia="Times New Roman" w:hAnsi="Times New Roman"/>
          <w:sz w:val="22"/>
          <w:szCs w:val="22"/>
          <w:color w:val="auto"/>
        </w:rPr>
        <w:t>”). So, for example, if our earnings call is held after the close of trading on Thursday, May 10, the Window Period opens at the beginning of trading on Tuesday May 15, after two full trading days (Friday and Monday) have elapsed. And if that quarter ends on Tuesday, July 3, the Window Period would close at the end of trading on Monday, June 18 (15 calendar days prior to July 3).</w:t>
      </w:r>
    </w:p>
    <w:p>
      <w:pPr>
        <w:spacing w:after="0" w:line="19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Even if the Window Period is open, you may not trade in Company securities if you are aware of Material Nonpublic Information about the Company. In addition, if you are subject to the Company’s pre-clearance policy (described below), you must pre-clear transactions even if you initiate them when the Window Period is open.</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From time to time during the Window Period, the Company may implement special blackout periods due to certain developments relating to Material Nonpublic Information during which the Company may notify particular individuals that they should not engage in any transactions involving the purchase or sale of Company securities or the securities of another company. If you are subject to a special blackout period, you should not trade in the applicable company’s securities during such time and you should not disclose to others the fact that you are prohibited from trading.</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However, it is not the Company’s policy to impose special blackout periods every time that Material Nonpublic Information exists, or every time that directors, officers, employees or consultants may be in the possession of Material Nonpublic Information. Thus, the absence of a special blackout should not be interpreted as permission to trade. In addition, if you are subject to the Company’s pre-clearance policy (described below), you must pre-clear transactions even if you initiate them while a special blackout period is not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Even if the Window Period is closed or a special blackout period is in place, you may exercise Company stock options if no shares are to be sold – you may not, however, effect sales of stock issued upon the exercise of stock options (including same-day sales and cashless exercises). Generally, all pending purchase and sale orders regarding Company securities that could be executed while the Window Period is open and a special blackout period is not in place must be cancelled before the Window Period closes or a special blackout period is implemented so as to avoid any purchases and sales during any such periods.</w:t>
      </w:r>
    </w:p>
    <w:p>
      <w:pPr>
        <w:spacing w:after="0" w:line="1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light of these restrictions, if you expect a need to sell Company stock at a specific time in the future, you may wish to consider entering into a prearranged Rule 10b5-1 trading plan (as discussed below).</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you are a Restricted Employee and you participate in the Company’s Employee Stock Purchase Plan (“ESPP”) and you wish to make investment elections during times that are not within a Window Period or are subject to a special blackout period, the Company’s policy is to require you to enter into an irrevocable investment election in the form of a letter to the Company delivered during a Window Period when a special blackout period is not in place, which will make the election on your behalf when permitted under our ESPP. Like any purchase or sale of our securities, investment elections under our ESPP are subject to this Policy and, if made by Restricted Employees, require pre-clearance by the General Counsel.</w:t>
      </w:r>
    </w:p>
    <w:p>
      <w:pPr>
        <w:spacing w:after="0" w:line="181" w:lineRule="exact"/>
        <w:rPr>
          <w:sz w:val="20"/>
          <w:szCs w:val="20"/>
          <w:color w:val="auto"/>
        </w:rPr>
      </w:pPr>
    </w:p>
    <w:p>
      <w:pPr>
        <w:ind w:left="1680" w:hanging="376"/>
        <w:spacing w:after="0"/>
        <w:tabs>
          <w:tab w:leader="none" w:pos="16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w:t>
      </w:r>
    </w:p>
    <w:p>
      <w:pPr>
        <w:spacing w:after="0" w:line="23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In the absence of having an active Rule 10b5-1 trading plan in place, (i) the Company requires its directors and Restricted Employees (other than the Company’s CEO and General Counsel) to contact the General Counsel in advance of effecting any purchase, sale or other trading of Company securities and to obtain prior approval of the transaction and (ii) in the instance of the Company’s CEO or General Counsel, the Company requires that they contact the Chair of the Board of Directors of the Company (the “Board”) in advance of effecting any purchase, sale or other trading of Company securities and to obtain approval of the transaction.</w:t>
      </w:r>
      <w:r>
        <w:rPr>
          <w:rFonts w:ascii="Times New Roman" w:cs="Times New Roman" w:eastAsia="Times New Roman" w:hAnsi="Times New Roman"/>
          <w:sz w:val="11"/>
          <w:szCs w:val="11"/>
          <w:color w:val="0000FF"/>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The pre-clearance policy applies to directors and Restricted Employees even if they are initiating a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while the Window Period is open and a special blackout period is not in place. </w:t>
      </w:r>
      <w:r>
        <w:rPr>
          <w:rFonts w:ascii="Times New Roman" w:cs="Times New Roman" w:eastAsia="Times New Roman" w:hAnsi="Times New Roman"/>
          <w:sz w:val="20"/>
          <w:szCs w:val="20"/>
          <w:color w:val="auto"/>
        </w:rPr>
        <w:t>The pre-clearance policy also applies to anyone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lives in the household (other than household employees) of a director or Restricted Employee.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a transaction is approved under the pre-clearance policy, the transaction must be executed by the end of the second full trading day after the approval is obtained, but regardless may not be executed if you acquire Material Nonpublic Information concerning the Company during that time. If a transaction is not completed within the period described above, the transaction must be approved again before it may be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6459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5" w:lineRule="exact"/>
        <w:rPr>
          <w:sz w:val="20"/>
          <w:szCs w:val="20"/>
          <w:color w:val="auto"/>
        </w:rPr>
      </w:pPr>
    </w:p>
    <w:p>
      <w:pPr>
        <w:ind w:left="340" w:right="160" w:hanging="332"/>
        <w:spacing w:after="0" w:line="271" w:lineRule="auto"/>
        <w:tabs>
          <w:tab w:leader="none" w:pos="549" w:val="left"/>
        </w:tabs>
        <w:numPr>
          <w:ilvl w:val="0"/>
          <w:numId w:val="31"/>
        </w:numPr>
        <w:rPr>
          <w:rFonts w:ascii="Times New Roman" w:cs="Times New Roman" w:eastAsia="Times New Roman" w:hAnsi="Times New Roman"/>
          <w:sz w:val="12"/>
          <w:szCs w:val="12"/>
          <w:color w:val="0000FF"/>
        </w:rPr>
      </w:pPr>
      <w:r>
        <w:rPr>
          <w:rFonts w:ascii="Times New Roman" w:cs="Times New Roman" w:eastAsia="Times New Roman" w:hAnsi="Times New Roman"/>
          <w:sz w:val="22"/>
          <w:szCs w:val="22"/>
          <w:color w:val="auto"/>
        </w:rPr>
        <w:t>At any time when the Company does not have a non-executive Board Chair, the duties and responsibilities assigned to the Board Chair in this sentence shall be fulfilled by the Chair of the Audit Committee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 proposed transaction is not approved under the pre-clearance policy, you may not transact in Company stock, and you should not inform anyone within or outside of the Company of the restriction. Any transaction under a Rule 10b5-1 trading plan will not require pre-clearance at the time of the transaction.</w:t>
      </w:r>
    </w:p>
    <w:p>
      <w:pPr>
        <w:spacing w:after="0" w:line="182"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Trading Plans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Rule 10b5-1 provides a defense from insider trading liability if trades occur pursuant to a pre-arranged trading plan that meets specified conditions. It is possible to pre-arrange trades in Company securities by entering into a written trading plan. Trading plans can be established for a single trade or a series of trades. A plan must either specify the number of securities to be bought or sold, along with the price and the date, or provide a written formula for determining this information. Alternatively, a trading plan can delegate investment discretion to a third party, such as a broker, who then makes trading decisions without further input from the person implementing the plan. Because the SEC rules on trading plans are complex, you should consult with your broker and be sure you fully understand the limitations and conditions of the rules before you establish a trading plan.</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All Rule 10b5-1 trading plans (other than those of the Company’s CEO and General Counsel) must be reviewed and approved in advance by the General Counsel. Any amendment, modification, or termination of a Rule 10b5-1 trading plan must also be approved in advance by the General Counsel. In the instance of the Company’s CEO or General Counsel, their Rule 10b5-1 trading plans must be reviewed and approved in advance by the Board Chair.</w:t>
      </w:r>
      <w:r>
        <w:rPr>
          <w:rFonts w:ascii="Times New Roman" w:cs="Times New Roman" w:eastAsia="Times New Roman" w:hAnsi="Times New Roman"/>
          <w:sz w:val="11"/>
          <w:szCs w:val="11"/>
          <w:color w:val="0000FF"/>
        </w:rPr>
        <w:t>2</w:t>
      </w:r>
    </w:p>
    <w:p>
      <w:pPr>
        <w:spacing w:after="0" w:line="199"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Noncompliance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Anyone who fails to comply with this Policy will be subject to appropriate disciplinary action, up to and including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16459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right="160" w:hanging="332"/>
        <w:spacing w:after="0" w:line="271" w:lineRule="auto"/>
        <w:tabs>
          <w:tab w:leader="none" w:pos="549" w:val="left"/>
        </w:tabs>
        <w:numPr>
          <w:ilvl w:val="0"/>
          <w:numId w:val="34"/>
        </w:numPr>
        <w:rPr>
          <w:rFonts w:ascii="Times New Roman" w:cs="Times New Roman" w:eastAsia="Times New Roman" w:hAnsi="Times New Roman"/>
          <w:sz w:val="12"/>
          <w:szCs w:val="12"/>
          <w:color w:val="0000FF"/>
        </w:rPr>
      </w:pPr>
      <w:r>
        <w:rPr>
          <w:rFonts w:ascii="Times New Roman" w:cs="Times New Roman" w:eastAsia="Times New Roman" w:hAnsi="Times New Roman"/>
          <w:sz w:val="22"/>
          <w:szCs w:val="22"/>
          <w:color w:val="auto"/>
        </w:rPr>
        <w:t>At any time when the Company does not have a non-executive Board Chair, the duties and responsibilities assigned to the Board Chair in this sentence shall be fulfilled by the Chair of the Audit Committee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88" w:name="page89"/>
    <w:bookmarkEnd w:id="88"/>
    <w:p>
      <w:pPr>
        <w:ind w:firstLine="648"/>
        <w:spacing w:after="0" w:line="256" w:lineRule="auto"/>
        <w:rPr>
          <w:sz w:val="20"/>
          <w:szCs w:val="20"/>
          <w:color w:val="auto"/>
        </w:rPr>
      </w:pPr>
      <w:r>
        <w:rPr>
          <w:rFonts w:ascii="Times New Roman" w:cs="Times New Roman" w:eastAsia="Times New Roman" w:hAnsi="Times New Roman"/>
          <w:sz w:val="22"/>
          <w:szCs w:val="22"/>
          <w:color w:val="auto"/>
        </w:rPr>
        <w:t>This confirms that I have read and I understand Noodles &amp; Company’s Insider Trading Policy. I agree to comply with this Policy and certify that I will communicate with all members of my household to inform them of the obligations in this Policy that apply to them. I understand that violation of this Policy may subject me to discipline by the Company up to and including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600710</wp:posOffset>
            </wp:positionV>
            <wp:extent cx="26231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120"/>
        <w:spacing w:after="0"/>
        <w:tabs>
          <w:tab w:leader="none" w:pos="918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360045</wp:posOffset>
            </wp:positionV>
            <wp:extent cx="26231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22" w:right="3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61"/>
        </w:trPr>
        <w:tc>
          <w:tcPr>
            <w:tcW w:w="60" w:type="dxa"/>
            <w:vAlign w:val="bottom"/>
          </w:tcPr>
          <w:p>
            <w:pPr>
              <w:spacing w:after="0"/>
              <w:rPr>
                <w:sz w:val="5"/>
                <w:szCs w:val="5"/>
                <w:color w:val="auto"/>
              </w:rPr>
            </w:pPr>
          </w:p>
        </w:tc>
        <w:tc>
          <w:tcPr>
            <w:tcW w:w="2280" w:type="dxa"/>
            <w:vAlign w:val="bottom"/>
            <w:tcBorders>
              <w:top w:val="single" w:sz="8" w:color="auto"/>
            </w:tcBorders>
          </w:tcPr>
          <w:p>
            <w:pPr>
              <w:spacing w:after="0"/>
              <w:rPr>
                <w:sz w:val="5"/>
                <w:szCs w:val="5"/>
                <w:color w:val="auto"/>
              </w:rPr>
            </w:pPr>
          </w:p>
        </w:tc>
        <w:tc>
          <w:tcPr>
            <w:tcW w:w="4380" w:type="dxa"/>
            <w:vAlign w:val="bottom"/>
          </w:tcPr>
          <w:p>
            <w:pPr>
              <w:spacing w:after="0"/>
              <w:rPr>
                <w:sz w:val="5"/>
                <w:szCs w:val="5"/>
                <w:color w:val="auto"/>
              </w:rPr>
            </w:pPr>
          </w:p>
        </w:tc>
        <w:tc>
          <w:tcPr>
            <w:tcW w:w="2240" w:type="dxa"/>
            <w:vAlign w:val="bottom"/>
            <w:tcBorders>
              <w:top w:val="single" w:sz="8" w:color="auto"/>
            </w:tcBorders>
          </w:tcPr>
          <w:p>
            <w:pPr>
              <w:spacing w:after="0"/>
              <w:rPr>
                <w:sz w:val="5"/>
                <w:szCs w:val="5"/>
                <w:color w:val="auto"/>
              </w:rPr>
            </w:pPr>
          </w:p>
        </w:tc>
        <w:tc>
          <w:tcPr>
            <w:tcW w:w="1560" w:type="dxa"/>
            <w:vAlign w:val="bottom"/>
          </w:tcPr>
          <w:p>
            <w:pPr>
              <w:spacing w:after="0"/>
              <w:rPr>
                <w:sz w:val="5"/>
                <w:szCs w:val="5"/>
                <w:color w:val="auto"/>
              </w:rPr>
            </w:pPr>
          </w:p>
        </w:tc>
      </w:tr>
      <w:tr>
        <w:trPr>
          <w:trHeight w:val="250"/>
        </w:trPr>
        <w:tc>
          <w:tcPr>
            <w:tcW w:w="67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TNSC, Inc.</w:t>
            </w: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234"/>
        </w:trPr>
        <w:tc>
          <w:tcPr>
            <w:tcW w:w="6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Noodle Shop, Co. - Colorado, Inc.</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36"/>
        </w:trPr>
        <w:tc>
          <w:tcPr>
            <w:tcW w:w="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67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Noodle Shop, Co. - Delaware, Inc.</w:t>
            </w: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34"/>
        </w:trPr>
        <w:tc>
          <w:tcPr>
            <w:tcW w:w="6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Noodle Shop, Co. - Illinois, Inc.</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 United States</w:t>
            </w:r>
          </w:p>
        </w:tc>
      </w:tr>
      <w:tr>
        <w:trPr>
          <w:trHeight w:val="36"/>
        </w:trPr>
        <w:tc>
          <w:tcPr>
            <w:tcW w:w="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67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Noodle Shop, Co. - Kansas, LLC</w:t>
            </w: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 United States</w:t>
            </w:r>
          </w:p>
        </w:tc>
      </w:tr>
      <w:tr>
        <w:trPr>
          <w:trHeight w:val="234"/>
        </w:trPr>
        <w:tc>
          <w:tcPr>
            <w:tcW w:w="6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Noodle Shop, Co. - Virginia, Inc.</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 United States</w:t>
            </w:r>
          </w:p>
        </w:tc>
      </w:tr>
      <w:tr>
        <w:trPr>
          <w:trHeight w:val="36"/>
        </w:trPr>
        <w:tc>
          <w:tcPr>
            <w:tcW w:w="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34"/>
        </w:trPr>
        <w:tc>
          <w:tcPr>
            <w:tcW w:w="67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Noodle Shop, Co. - Wisconsin, Inc.</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Wisconsin, United States</w:t>
            </w:r>
          </w:p>
        </w:tc>
      </w:tr>
      <w:tr>
        <w:trPr>
          <w:trHeight w:val="36"/>
        </w:trPr>
        <w:tc>
          <w:tcPr>
            <w:tcW w:w="6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438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680" w:top="14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25, 2026, with respect to the consolidated financial statements included in the Annual Report of Noodles &amp; Company on Form 10-K for the period ended December 30, 2025. We consent to the incorporation by reference of said report in the Registration Statements of Noodles &amp; Company on Forms S-8 (File No. 333-281490, File No. 333-272120, File No. 333-189878 and File No. 333-189877) and on Forms S-3 (File No. 333-217760 and File No. 333-225238).</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ectPr>
          <w:pgSz w:w="11900" w:h="16838" w:orient="portrait"/>
          <w:cols w:equalWidth="0" w:num="1">
            <w:col w:w="11240"/>
          </w:cols>
          <w:pgMar w:left="320" w:top="94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333-281490) pertaining to the Noodles &amp; Company 2024 Inducement Plan,</w:t>
      </w:r>
    </w:p>
    <w:p>
      <w:pPr>
        <w:spacing w:after="0" w:line="23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333-272120) pertaining to the Noodles &amp; Company 2023 Stock Incentive Plan,</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333-189877) pertaining to the Noodles &amp; Company Employee Stock Purchase Plan,</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333-189878) pertaining to the Noodles &amp; Company Amended and Restated 2010 Stock Incentive Plan,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 333-217760 and No. 333-225238) of Noodles &amp; Company;</w:t>
      </w:r>
    </w:p>
    <w:p>
      <w:pPr>
        <w:spacing w:after="0" w:line="23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of our report dated March 7, 2025 (except for the consolidated balance sheet, consolidated statements of operations, consolidated statements of stockholders’ equity (deficit), Note 8, Note 9 and Note 10, as to which the date is March 25, 2026), with respect to the consolidated financial statements of Noodles &amp; Company included in this Annual Report (Form 10-K) of Noodles &amp; Company for the year ended December 30, 2025.</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ectPr>
          <w:pgSz w:w="11900" w:h="16838" w:orient="portrait"/>
          <w:cols w:equalWidth="0" w:num="1">
            <w:col w:w="11240"/>
          </w:cols>
          <w:pgMar w:left="320" w:top="94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Christina,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Noodles and Company;</w:t>
      </w:r>
    </w:p>
    <w:p>
      <w:pPr>
        <w:spacing w:after="0" w:line="171" w:lineRule="exact"/>
        <w:rPr>
          <w:rFonts w:ascii="Times New Roman" w:cs="Times New Roman" w:eastAsia="Times New Roman" w:hAnsi="Times New Roman"/>
          <w:sz w:val="18"/>
          <w:szCs w:val="18"/>
          <w:color w:val="auto"/>
        </w:rPr>
      </w:pPr>
    </w:p>
    <w:p>
      <w:pPr>
        <w:ind w:left="180" w:hanging="172"/>
        <w:spacing w:after="0" w:line="282"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180" w:hanging="172"/>
        <w:spacing w:after="0" w:line="282" w:lineRule="auto"/>
        <w:tabs>
          <w:tab w:leader="none" w:pos="2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960" w:right="80" w:hanging="462"/>
        <w:spacing w:after="0" w:line="226"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8"/>
          <w:szCs w:val="18"/>
          <w:color w:val="auto"/>
        </w:rPr>
      </w:pPr>
    </w:p>
    <w:p>
      <w:pPr>
        <w:ind w:left="960" w:right="400" w:hanging="468"/>
        <w:spacing w:after="0" w:line="231"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960" w:right="560" w:hanging="462"/>
        <w:spacing w:after="0" w:line="263" w:lineRule="auto"/>
        <w:tabs>
          <w:tab w:leader="none" w:pos="9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960" w:right="100" w:hanging="462"/>
        <w:spacing w:after="0" w:line="226"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Times New Roman" w:cs="Times New Roman" w:eastAsia="Times New Roman" w:hAnsi="Times New Roman"/>
          <w:sz w:val="18"/>
          <w:szCs w:val="18"/>
          <w:color w:val="auto"/>
        </w:rPr>
      </w:pPr>
    </w:p>
    <w:p>
      <w:pPr>
        <w:ind w:firstLine="8"/>
        <w:spacing w:after="0" w:line="273" w:lineRule="auto"/>
        <w:tabs>
          <w:tab w:leader="none" w:pos="2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960" w:right="800" w:hanging="462"/>
        <w:spacing w:after="0" w:line="237"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8"/>
          <w:szCs w:val="18"/>
          <w:color w:val="auto"/>
        </w:rPr>
      </w:pPr>
    </w:p>
    <w:p>
      <w:pPr>
        <w:ind w:left="960" w:right="500" w:hanging="462"/>
        <w:spacing w:after="0" w:line="237"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JOSEPH CHRISTINA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34290</wp:posOffset>
            </wp:positionV>
            <wp:extent cx="20999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Joseph Christina</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Hynes, certify that:</w:t>
      </w:r>
    </w:p>
    <w:p>
      <w:pPr>
        <w:spacing w:after="0" w:line="225"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Noodles and Company;</w:t>
      </w:r>
    </w:p>
    <w:p>
      <w:pPr>
        <w:spacing w:after="0" w:line="171" w:lineRule="exact"/>
        <w:rPr>
          <w:rFonts w:ascii="Times New Roman" w:cs="Times New Roman" w:eastAsia="Times New Roman" w:hAnsi="Times New Roman"/>
          <w:sz w:val="18"/>
          <w:szCs w:val="18"/>
          <w:color w:val="auto"/>
        </w:rPr>
      </w:pPr>
    </w:p>
    <w:p>
      <w:pPr>
        <w:ind w:left="180" w:hanging="172"/>
        <w:spacing w:after="0" w:line="282"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180" w:hanging="172"/>
        <w:spacing w:after="0" w:line="282" w:lineRule="auto"/>
        <w:tabs>
          <w:tab w:leader="none" w:pos="2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960" w:right="80" w:hanging="462"/>
        <w:spacing w:after="0" w:line="226"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8"/>
          <w:szCs w:val="18"/>
          <w:color w:val="auto"/>
        </w:rPr>
      </w:pPr>
    </w:p>
    <w:p>
      <w:pPr>
        <w:ind w:left="960" w:right="400" w:hanging="468"/>
        <w:spacing w:after="0" w:line="231"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960" w:right="560" w:hanging="462"/>
        <w:spacing w:after="0" w:line="263" w:lineRule="auto"/>
        <w:tabs>
          <w:tab w:leader="none" w:pos="96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960" w:right="100" w:hanging="462"/>
        <w:spacing w:after="0" w:line="226"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Times New Roman" w:cs="Times New Roman" w:eastAsia="Times New Roman" w:hAnsi="Times New Roman"/>
          <w:sz w:val="18"/>
          <w:szCs w:val="18"/>
          <w:color w:val="auto"/>
        </w:rPr>
      </w:pPr>
    </w:p>
    <w:p>
      <w:pPr>
        <w:ind w:firstLine="8"/>
        <w:spacing w:after="0" w:line="273" w:lineRule="auto"/>
        <w:tabs>
          <w:tab w:leader="none" w:pos="2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960" w:right="800" w:hanging="462"/>
        <w:spacing w:after="0" w:line="237"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8"/>
          <w:szCs w:val="18"/>
          <w:color w:val="auto"/>
        </w:rPr>
      </w:pPr>
    </w:p>
    <w:p>
      <w:pPr>
        <w:ind w:left="960" w:right="500" w:hanging="462"/>
        <w:spacing w:after="0" w:line="237"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MIKE HYNES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34290</wp:posOffset>
            </wp:positionV>
            <wp:extent cx="20999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Mike Hynes</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Joseph Christina, certify, pursuant to 18 U.S.C. Section 1350, as adopted pursuant to Section 906 of the Sarbanes-Oxley Act of 2002, that the Annual Report of Noodles &amp; Company on Form 10-K for the fiscal year ended December 30, 2025 fully complies with the requirements of Section 13(a) or 15(d) of the Securities Exchange Act of 1934 and that information contained in such Annual Report on Form 10-K fairly presents in all material respects the financial condition and results of operations of Noodles &amp;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360" w:lineRule="exact"/>
        <w:rPr>
          <w:sz w:val="20"/>
          <w:szCs w:val="20"/>
          <w:color w:val="auto"/>
        </w:rPr>
      </w:pPr>
    </w:p>
    <w:tbl>
      <w:tblPr>
        <w:tblLayout w:type="fixed"/>
        <w:tblInd w:w="69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JOSEPH CHRISTINA</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Joseph Christina</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Mike Hynes, certify, pursuant to 18 U.S.C. Section 1350, as adopted pursuant to Section 906 of the Sarbanes-Oxley Act of 2002, that the Annual Report of Noodles &amp; Company on Form 10-K for the fiscal year ended December 30, 2025 fully complies with the requirements of Section 13(a) or 15(d) of the Securities Exchange Act of 1934 and that information contained in such Annual Report on Form 10-K fairly presents in all material respects the financial condition and results of operations of Noodles &amp;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50" w:lineRule="exact"/>
        <w:rPr>
          <w:sz w:val="20"/>
          <w:szCs w:val="20"/>
          <w:color w:val="auto"/>
        </w:rPr>
      </w:pPr>
    </w:p>
    <w:tbl>
      <w:tblPr>
        <w:tblLayout w:type="fixed"/>
        <w:tblInd w:w="69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MIKE HYNES</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Mike Hynes</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Annual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lowerRoman"/>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lowerLetter"/>
      <w:start w:val="25"/>
    </w:lvl>
  </w:abstractNum>
  <w:abstractNum w:abstractNumId="13">
    <w:nsid w:val="4353D0CD"/>
    <w:multiLevelType w:val="hybridMultilevel"/>
    <w:lvl w:ilvl="0">
      <w:lvlJc w:val="left"/>
      <w:lvlText w:val="%1"/>
      <w:numFmt w:val="decimal"/>
      <w:start w:val="1"/>
    </w:lvl>
    <w:lvl w:ilvl="1">
      <w:lvlJc w:val="left"/>
      <w:lvlText w:val="(%2)"/>
      <w:numFmt w:val="decimal"/>
      <w:start w:val="1"/>
    </w:lvl>
  </w:abstractNum>
  <w:abstractNum w:abstractNumId="14">
    <w:nsid w:val="B03E0C6"/>
    <w:multiLevelType w:val="hybridMultilevel"/>
    <w:lvl w:ilvl="0">
      <w:lvlJc w:val="left"/>
      <w:lvlText w:val="%1."/>
      <w:numFmt w:val="decimal"/>
      <w:start w:val="18"/>
    </w:lvl>
    <w:lvl w:ilvl="1">
      <w:lvlJc w:val="left"/>
      <w:lvlText w:val="%2"/>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upperLetter"/>
      <w:start w:val="9"/>
    </w:lvl>
  </w:abstractNum>
  <w:abstractNum w:abstractNumId="17">
    <w:nsid w:val="71F32454"/>
    <w:multiLevelType w:val="hybridMultilevel"/>
    <w:lvl w:ilvl="0">
      <w:lvlJc w:val="left"/>
      <w:lvlText w:val="%1."/>
      <w:numFmt w:val="upperLetter"/>
      <w:start w:val="35"/>
    </w:lvl>
    <w:lvl w:ilvl="1">
      <w:lvlJc w:val="left"/>
      <w:lvlText w:val="%2"/>
      <w:numFmt w:val="upperLetter"/>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upperLetter"/>
      <w:start w:val="2"/>
    </w:lvl>
    <w:lvl w:ilvl="1">
      <w:lvlJc w:val="left"/>
      <w:lvlText w:val="%2."/>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upperLetter"/>
      <w:start w:val="3"/>
    </w:lvl>
  </w:abstractNum>
  <w:abstractNum w:abstractNumId="27">
    <w:nsid w:val="22221A70"/>
    <w:multiLevelType w:val="hybridMultilevel"/>
    <w:lvl w:ilvl="0">
      <w:lvlJc w:val="left"/>
      <w:lvlText w:val="%1."/>
      <w:numFmt w:val="upperLetter"/>
      <w:start w:val="4"/>
    </w:lvl>
    <w:lvl w:ilvl="1">
      <w:lvlJc w:val="left"/>
      <w:lvlText w:val="%2."/>
      <w:numFmt w:val="decimal"/>
      <w:start w:val="1"/>
    </w:lvl>
  </w:abstractNum>
  <w:abstractNum w:abstractNumId="28">
    <w:nsid w:val="4516DDE9"/>
    <w:multiLevelType w:val="hybridMultilevel"/>
    <w:lvl w:ilvl="0">
      <w:lvlJc w:val="left"/>
      <w:lvlText w:val="%1."/>
      <w:numFmt w:val="decimal"/>
      <w:start w:val="2"/>
    </w:lvl>
  </w:abstractNum>
  <w:abstractNum w:abstractNumId="29">
    <w:nsid w:val="3006C83E"/>
    <w:multiLevelType w:val="hybridMultilevel"/>
    <w:lvl w:ilvl="0">
      <w:lvlJc w:val="left"/>
      <w:lvlText w:val="%1."/>
      <w:numFmt w:val="decimal"/>
      <w:start w:val="3"/>
    </w:lvl>
  </w:abstractNum>
  <w:abstractNum w:abstractNumId="30">
    <w:nsid w:val="614FD4A1"/>
    <w:multiLevelType w:val="hybridMultilevel"/>
    <w:lvl w:ilvl="0">
      <w:lvlJc w:val="left"/>
      <w:lvlText w:val="1"/>
      <w:numFmt w:val="bullet"/>
      <w:start w:val="1"/>
    </w:lvl>
  </w:abstractNum>
  <w:abstractNum w:abstractNumId="31">
    <w:nsid w:val="419AC241"/>
    <w:multiLevelType w:val="hybridMultilevel"/>
    <w:lvl w:ilvl="0">
      <w:lvlJc w:val="left"/>
      <w:lvlText w:val="%1."/>
      <w:numFmt w:val="upperLetter"/>
      <w:start w:val="5"/>
    </w:lvl>
  </w:abstractNum>
  <w:abstractNum w:abstractNumId="32">
    <w:nsid w:val="5577F8E1"/>
    <w:multiLevelType w:val="hybridMultilevel"/>
    <w:lvl w:ilvl="0">
      <w:lvlJc w:val="left"/>
      <w:lvlText w:val="%1."/>
      <w:numFmt w:val="upperLetter"/>
      <w:start w:val="6"/>
    </w:lvl>
  </w:abstractNum>
  <w:abstractNum w:abstractNumId="33">
    <w:nsid w:val="440BADFC"/>
    <w:multiLevelType w:val="hybridMultilevel"/>
    <w:lvl w:ilvl="0">
      <w:lvlJc w:val="left"/>
      <w:lvlText w:val="2"/>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7" Type="http://schemas.openxmlformats.org/officeDocument/2006/relationships/image" Target="media/image77.png"/><Relationship Id="rId116" Type="http://schemas.openxmlformats.org/officeDocument/2006/relationships/image" Target="media/image78.png"/><Relationship Id="rId137"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84" Type="http://schemas.openxmlformats.org/officeDocument/2006/relationships/hyperlink" Target="https://www.sec.gov/Archives/edgar/data/1275158/000127515813000005/exhibit31.htm" TargetMode="External"/><Relationship Id="rId85" Type="http://schemas.openxmlformats.org/officeDocument/2006/relationships/hyperlink" Target="https://www.sec.gov/Archives/edgar/data/1275158/000127515826000011/ex31certificateofamendment.htm" TargetMode="External"/><Relationship Id="rId86" Type="http://schemas.openxmlformats.org/officeDocument/2006/relationships/hyperlink" Target="https://www.sec.gov/Archives/edgar/data/1275158/000127515815000065/exhibit31secondamendandres.htm" TargetMode="External"/><Relationship Id="rId87" Type="http://schemas.openxmlformats.org/officeDocument/2006/relationships/hyperlink" Target="https://www.sec.gov/Archives/edgar/data/1275158/000104746913006990/a2215619zex-4_1.htm" TargetMode="External"/><Relationship Id="rId88" Type="http://schemas.openxmlformats.org/officeDocument/2006/relationships/hyperlink" Target="https://www.sec.gov/Archives/edgar/data/1275158/000127515821000015/ex44descriptionofsec12secu.htm" TargetMode="External"/><Relationship Id="rId89" Type="http://schemas.openxmlformats.org/officeDocument/2006/relationships/hyperlink" Target="https://www.sec.gov/Archives/edgar/data/1275158/000127515822000076/ex101thirdamendmenttocredi.htm" TargetMode="External"/><Relationship Id="rId90" Type="http://schemas.openxmlformats.org/officeDocument/2006/relationships/hyperlink" Target="https://www.sec.gov/Archives/edgar/data/1275158/000127515823000100/firstamendmenttoamendedand.htm" TargetMode="External"/><Relationship Id="rId91" Type="http://schemas.openxmlformats.org/officeDocument/2006/relationships/hyperlink" Target="https://www.sec.gov/Archives/edgar/data/1275158/000127515824000093/secondamendmenttoamendedan.htm" TargetMode="External"/><Relationship Id="rId92" Type="http://schemas.openxmlformats.org/officeDocument/2006/relationships/hyperlink" Target="https://www.sec.gov/Archives/edgar/data/1275158/000127515818000035/exhibit102ndlssecurity.htm" TargetMode="External"/><Relationship Id="rId93" Type="http://schemas.openxmlformats.org/officeDocument/2006/relationships/hyperlink" Target="https://www.sec.gov/Archives/edgar/data/1275158/000127515818000035/exhibit103ndlspledgeag.htm" TargetMode="External"/><Relationship Id="rId94" Type="http://schemas.openxmlformats.org/officeDocument/2006/relationships/hyperlink" Target="https://www.sec.gov/Archives/edgar/data/1275158/000104746913006990/a2215619zex-10_15.htm" TargetMode="External"/><Relationship Id="rId95" Type="http://schemas.openxmlformats.org/officeDocument/2006/relationships/hyperlink" Target="https://www.sec.gov/Archives/edgar/data/1275158/000127515817000020/ex102_letteragreementdated.htm" TargetMode="External"/><Relationship Id="rId96" Type="http://schemas.openxmlformats.org/officeDocument/2006/relationships/hyperlink" Target="https://www.sec.gov/Archives/edgar/data/1275158/000127515817000020/ex101securitiespurchaseagr.htm" TargetMode="External"/><Relationship Id="rId98" Type="http://schemas.openxmlformats.org/officeDocument/2006/relationships/hyperlink" Target="https://www.sec.gov/Archives/edgar/data/1275158/000127515824000066/ex10-1supportagreementdtd0.htm" TargetMode="External"/><Relationship Id="rId99" Type="http://schemas.openxmlformats.org/officeDocument/2006/relationships/hyperlink" Target="https://www.sec.gov/Archives/edgar/data/1275158/000127515815000005/exhibit109formofareadevelo.htm" TargetMode="External"/><Relationship Id="rId100" Type="http://schemas.openxmlformats.org/officeDocument/2006/relationships/hyperlink" Target="https://www.sec.gov/Archives/edgar/data/1275158/000127515815000005/exhibit1010formoffranchise.htm" TargetMode="External"/><Relationship Id="rId101" Type="http://schemas.openxmlformats.org/officeDocument/2006/relationships/hyperlink" Target="https://www.sec.gov/Archives/edgar/data/1275158/000104746913006990/a2215619zex-10_1.htm" TargetMode="External"/><Relationship Id="rId102" Type="http://schemas.openxmlformats.org/officeDocument/2006/relationships/hyperlink" Target="https://www.sec.gov/Archives/edgar/data/1275158/000127515817000109/ex107formofstockoption.htm" TargetMode="External"/><Relationship Id="rId103" Type="http://schemas.openxmlformats.org/officeDocument/2006/relationships/hyperlink" Target="https://www.sec.gov/Archives/edgar/data/1275158/000127515822000044/ex101formof2022performance.htm" TargetMode="External"/><Relationship Id="rId104" Type="http://schemas.openxmlformats.org/officeDocument/2006/relationships/hyperlink" Target="https://www.sec.gov/Archives/edgar/data/1275158/000127515822000083/ex101rsuagreement-gmequity.htm" TargetMode="External"/><Relationship Id="rId105" Type="http://schemas.openxmlformats.org/officeDocument/2006/relationships/hyperlink" Target="https://www.sec.gov/Archives/edgar/data/1275158/000104746913006990/a2215619zex-10_2.htm" TargetMode="External"/><Relationship Id="rId106" Type="http://schemas.openxmlformats.org/officeDocument/2006/relationships/hyperlink" Target="https://www.sec.gov/Archives/edgar/data/1275158/000104746913006990/a2215619zex-10_22.htm" TargetMode="External"/><Relationship Id="rId107" Type="http://schemas.openxmlformats.org/officeDocument/2006/relationships/hyperlink" Target="https://www.sec.gov/Archives/edgar/data/1275158/000127515823000049/ex991ndls2023stockincentiv.htm" TargetMode="External"/><Relationship Id="rId108" Type="http://schemas.openxmlformats.org/officeDocument/2006/relationships/hyperlink" Target="https://www.sec.gov/Archives/edgar/data/1275158/000127515823000041/formof2023restrictedstocka.htm" TargetMode="External"/><Relationship Id="rId109" Type="http://schemas.openxmlformats.org/officeDocument/2006/relationships/hyperlink" Target="https://www.sec.gov/Archives/edgar/data/1275158/000127515823000041/formof2023performancersuag.htm" TargetMode="External"/><Relationship Id="rId110" Type="http://schemas.openxmlformats.org/officeDocument/2006/relationships/hyperlink" Target="https://www.sec.gov/Archives/edgar/data/1275158/000127515823000041/formof2023gmrsuagreement.htm" TargetMode="External"/><Relationship Id="rId111" Type="http://schemas.openxmlformats.org/officeDocument/2006/relationships/hyperlink" Target="https://www.sec.gov/Archives/edgar/data/1275158/000127515823000096/drewmadsenrsuagreement.htm" TargetMode="External"/><Relationship Id="rId112" Type="http://schemas.openxmlformats.org/officeDocument/2006/relationships/hyperlink" Target="https://www.sec.gov/Archives/edgar/data/1275158/000127515824000041/ex101formof2024rsuagreemen.htm" TargetMode="External"/><Relationship Id="rId113" Type="http://schemas.openxmlformats.org/officeDocument/2006/relationships/hyperlink" Target="https://www.sec.gov/Archives/edgar/data/1275158/000127515824000005/ex102drewmadsenoptiongrant.htm" TargetMode="External"/><Relationship Id="rId114" Type="http://schemas.openxmlformats.org/officeDocument/2006/relationships/hyperlink" Target="https://www.sec.gov/Archives/edgar/data/1275158/000127515824000005/ex103drewmadsenformofrsugr.htm" TargetMode="External"/><Relationship Id="rId115" Type="http://schemas.openxmlformats.org/officeDocument/2006/relationships/hyperlink" Target="https://www.sec.gov/Archives/edgar/data/1275158/000127515824000005/ex104drewmadsenpsuagreemen.htm" TargetMode="External"/><Relationship Id="rId117" Type="http://schemas.openxmlformats.org/officeDocument/2006/relationships/hyperlink" Target="https://www.sec.gov/Archives/edgar/data/1275158/000127515824000084/ex101formof2024restricteds.htm" TargetMode="External"/><Relationship Id="rId118" Type="http://schemas.openxmlformats.org/officeDocument/2006/relationships/hyperlink" Target="https://www.sec.gov/Archives/edgar/data/1275158/000127515824000084/ex102formof2024performance.htm" TargetMode="External"/><Relationship Id="rId119" Type="http://schemas.openxmlformats.org/officeDocument/2006/relationships/hyperlink" Target="https://www.sec.gov/Archives/edgar/data/1275158/000127515825000090/ex101formof2025restricteds.htm" TargetMode="External"/><Relationship Id="rId120" Type="http://schemas.openxmlformats.org/officeDocument/2006/relationships/hyperlink" Target="https://www.sec.gov/Archives/edgar/data/1275158/000127515825000090/ex102formof2025performance.htm" TargetMode="External"/><Relationship Id="rId121" Type="http://schemas.openxmlformats.org/officeDocument/2006/relationships/hyperlink" Target="https://www.sec.gov/Archives/edgar/data/1275158/000127515823000088/ex101non-employeedirectorc.htm" TargetMode="External"/><Relationship Id="rId122" Type="http://schemas.openxmlformats.org/officeDocument/2006/relationships/hyperlink" Target="https://www.sec.gov/Archives/edgar/data/1275158/000127515825000090/ex103formof2025restricteds.htm" TargetMode="External"/><Relationship Id="rId123" Type="http://schemas.openxmlformats.org/officeDocument/2006/relationships/hyperlink" Target="https://www.sec.gov/Archives/edgar/data/1275158/000127515821000104/a2021q2ex101kathylockharte.htm" TargetMode="External"/><Relationship Id="rId124" Type="http://schemas.openxmlformats.org/officeDocument/2006/relationships/hyperlink" Target="https://www.sec.gov/Archives/edgar/data/1275158/000127515821000104/a2021q2ex103coreyklineempl.htm" TargetMode="External"/><Relationship Id="rId125" Type="http://schemas.openxmlformats.org/officeDocument/2006/relationships/hyperlink" Target="https://www.sec.gov/Archives/edgar/data/1275158/000127515823000067/mikehynesofferletter.htm" TargetMode="External"/><Relationship Id="rId126" Type="http://schemas.openxmlformats.org/officeDocument/2006/relationships/hyperlink" Target="https://www.sec.gov/Archives/edgar/data/1275158/000127515823000067/mikehynesemploymentagreeme.htm" TargetMode="External"/><Relationship Id="rId127" Type="http://schemas.openxmlformats.org/officeDocument/2006/relationships/hyperlink" Target="https://www.sec.gov/Archives/edgar/data/1275158/000127515823000096/drewmadsenofferletter.htm" TargetMode="External"/><Relationship Id="rId128" Type="http://schemas.openxmlformats.org/officeDocument/2006/relationships/hyperlink" Target="https://www.sec.gov/Archives/edgar/data/1275158/000127515824000005/ex101drewmadsenemploymenta.htm" TargetMode="External"/><Relationship Id="rId129" Type="http://schemas.openxmlformats.org/officeDocument/2006/relationships/hyperlink" Target="https://www.sec.gov/Archives/edgar/data/1275158/000127515825000090/ex104drewmadsentransitiona.htm" TargetMode="External"/><Relationship Id="rId130" Type="http://schemas.openxmlformats.org/officeDocument/2006/relationships/hyperlink" Target="https://www.sec.gov/Archives/edgar/data/1275158/000127515824000084/ex104scottdavisemploymenta.htm" TargetMode="External"/><Relationship Id="rId131" Type="http://schemas.openxmlformats.org/officeDocument/2006/relationships/hyperlink" Target="https://www.sec.gov/Archives/edgar/data/1275158/000127515824000090/ex101transitionservicesand.htm" TargetMode="External"/><Relationship Id="rId132" Type="http://schemas.openxmlformats.org/officeDocument/2006/relationships/hyperlink" Target="https://www.sec.gov/Archives/edgar/data/1275158/000127515824000072/ex101melissaheidmanseparat.htm" TargetMode="External"/><Relationship Id="rId133" Type="http://schemas.openxmlformats.org/officeDocument/2006/relationships/hyperlink" Target="https://www.sec.gov/Archives/edgar/data/1275158/000127515825000016/ex1049josephchristinaoffer.htm" TargetMode="External"/><Relationship Id="rId134" Type="http://schemas.openxmlformats.org/officeDocument/2006/relationships/hyperlink" Target="https://www.sec.gov/Archives/edgar/data/1275158/000127515825000008/ex101josephchristinaemploy.htm" TargetMode="External"/><Relationship Id="rId135" Type="http://schemas.openxmlformats.org/officeDocument/2006/relationships/hyperlink" Target="https://www.sec.gov/Archives/edgar/data/1275158/000127515825000090/ex105josephchristinaamende.htm" TargetMode="External"/><Relationship Id="rId136" Type="http://schemas.openxmlformats.org/officeDocument/2006/relationships/hyperlink" Target="https://www.sec.gov/Archives/edgar/data/1275158/000127515825000097/ex16letterfromernstyoungllp.htm" TargetMode="External"/><Relationship Id="rId138" Type="http://schemas.openxmlformats.org/officeDocument/2006/relationships/hyperlink" Target="https://www.sec.gov/Archives/edgar/data/1275158/000127515824000007/a2023q4ex971ndlsdoddfrank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2026-03-26T05:07:43Z</dcterms:created>
  <dcterms:modified xsi:type="dcterms:W3CDTF">2026-03-26T05:07:43Z</dcterms:modified>
</cp:coreProperties>
</file>